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364" w:rsidRPr="003B29D2" w:rsidRDefault="00350364" w:rsidP="00350364"/>
    <w:p w:rsidR="00350364" w:rsidRPr="003B29D2" w:rsidRDefault="00350364" w:rsidP="00350364">
      <w:pPr>
        <w:autoSpaceDE w:val="0"/>
        <w:autoSpaceDN w:val="0"/>
        <w:adjustRightInd w:val="0"/>
        <w:contextualSpacing/>
        <w:jc w:val="right"/>
      </w:pPr>
      <w:proofErr w:type="gramStart"/>
      <w:r w:rsidRPr="003B29D2">
        <w:t>2.pielikums</w:t>
      </w:r>
      <w:proofErr w:type="gramEnd"/>
    </w:p>
    <w:p w:rsidR="00350364" w:rsidRPr="003B29D2" w:rsidRDefault="00350364" w:rsidP="00350364">
      <w:pPr>
        <w:autoSpaceDE w:val="0"/>
        <w:autoSpaceDN w:val="0"/>
        <w:adjustRightInd w:val="0"/>
        <w:contextualSpacing/>
        <w:jc w:val="center"/>
        <w:rPr>
          <w:b/>
          <w:bCs/>
        </w:rPr>
      </w:pPr>
    </w:p>
    <w:p w:rsidR="00350364" w:rsidRPr="003B29D2" w:rsidRDefault="00350364" w:rsidP="00350364">
      <w:pPr>
        <w:tabs>
          <w:tab w:val="right" w:pos="9214"/>
        </w:tabs>
        <w:spacing w:line="259" w:lineRule="auto"/>
        <w:contextualSpacing/>
        <w:jc w:val="center"/>
        <w:rPr>
          <w:b/>
          <w:bCs/>
        </w:rPr>
      </w:pPr>
      <w:r w:rsidRPr="003B29D2">
        <w:rPr>
          <w:b/>
          <w:bCs/>
        </w:rPr>
        <w:t xml:space="preserve">ŠĶELDAS TEHNISKĀ SPECIFIKĀCIJA </w:t>
      </w:r>
    </w:p>
    <w:p w:rsidR="00350364" w:rsidRPr="003B29D2" w:rsidRDefault="00350364" w:rsidP="00350364">
      <w:pPr>
        <w:keepNext/>
        <w:tabs>
          <w:tab w:val="left" w:pos="1296"/>
        </w:tabs>
        <w:suppressAutoHyphens/>
        <w:spacing w:before="240" w:after="60"/>
        <w:jc w:val="center"/>
        <w:outlineLvl w:val="0"/>
        <w:rPr>
          <w:b/>
        </w:rPr>
      </w:pPr>
      <w:r w:rsidRPr="003B29D2">
        <w:rPr>
          <w:b/>
        </w:rPr>
        <w:t>“</w:t>
      </w:r>
      <w:proofErr w:type="spellStart"/>
      <w:r w:rsidRPr="003B29D2">
        <w:rPr>
          <w:b/>
        </w:rPr>
        <w:t>Kurināmā</w:t>
      </w:r>
      <w:proofErr w:type="spellEnd"/>
      <w:r w:rsidRPr="003B29D2">
        <w:rPr>
          <w:b/>
        </w:rPr>
        <w:t xml:space="preserve"> (</w:t>
      </w:r>
      <w:proofErr w:type="spellStart"/>
      <w:r w:rsidRPr="003B29D2">
        <w:rPr>
          <w:b/>
        </w:rPr>
        <w:t>koksnes</w:t>
      </w:r>
      <w:proofErr w:type="spellEnd"/>
      <w:r w:rsidRPr="003B29D2">
        <w:rPr>
          <w:b/>
        </w:rPr>
        <w:t xml:space="preserve"> </w:t>
      </w:r>
      <w:proofErr w:type="spellStart"/>
      <w:r w:rsidRPr="003B29D2">
        <w:rPr>
          <w:b/>
        </w:rPr>
        <w:t>šķeldas</w:t>
      </w:r>
      <w:proofErr w:type="spellEnd"/>
      <w:r w:rsidRPr="003B29D2">
        <w:rPr>
          <w:b/>
        </w:rPr>
        <w:t xml:space="preserve">) </w:t>
      </w:r>
      <w:proofErr w:type="spellStart"/>
      <w:r w:rsidRPr="003B29D2">
        <w:rPr>
          <w:b/>
        </w:rPr>
        <w:t>piegāde</w:t>
      </w:r>
      <w:proofErr w:type="spellEnd"/>
      <w:r w:rsidRPr="003B29D2">
        <w:rPr>
          <w:b/>
        </w:rPr>
        <w:t xml:space="preserve"> </w:t>
      </w:r>
      <w:proofErr w:type="spellStart"/>
      <w:r w:rsidRPr="003B29D2">
        <w:rPr>
          <w:b/>
        </w:rPr>
        <w:t>Sabiedrības</w:t>
      </w:r>
      <w:proofErr w:type="spellEnd"/>
      <w:r w:rsidRPr="003B29D2">
        <w:rPr>
          <w:b/>
        </w:rPr>
        <w:t xml:space="preserve"> </w:t>
      </w:r>
      <w:proofErr w:type="spellStart"/>
      <w:r w:rsidRPr="003B29D2">
        <w:rPr>
          <w:b/>
        </w:rPr>
        <w:t>ar</w:t>
      </w:r>
      <w:proofErr w:type="spellEnd"/>
      <w:r w:rsidRPr="003B29D2">
        <w:rPr>
          <w:b/>
        </w:rPr>
        <w:t xml:space="preserve"> </w:t>
      </w:r>
      <w:proofErr w:type="spellStart"/>
      <w:r w:rsidRPr="003B29D2">
        <w:rPr>
          <w:b/>
        </w:rPr>
        <w:t>ierobežotu</w:t>
      </w:r>
      <w:proofErr w:type="spellEnd"/>
      <w:r w:rsidRPr="003B29D2">
        <w:rPr>
          <w:b/>
        </w:rPr>
        <w:t xml:space="preserve"> </w:t>
      </w:r>
      <w:proofErr w:type="spellStart"/>
      <w:r w:rsidRPr="003B29D2">
        <w:rPr>
          <w:b/>
        </w:rPr>
        <w:t>atbildību</w:t>
      </w:r>
      <w:proofErr w:type="spellEnd"/>
      <w:r w:rsidRPr="003B29D2">
        <w:rPr>
          <w:b/>
        </w:rPr>
        <w:t xml:space="preserve"> “</w:t>
      </w:r>
      <w:proofErr w:type="spellStart"/>
      <w:r w:rsidRPr="003B29D2">
        <w:rPr>
          <w:b/>
        </w:rPr>
        <w:t>Jēkabpils</w:t>
      </w:r>
      <w:proofErr w:type="spellEnd"/>
      <w:r w:rsidRPr="003B29D2">
        <w:rPr>
          <w:b/>
        </w:rPr>
        <w:t xml:space="preserve"> </w:t>
      </w:r>
      <w:proofErr w:type="spellStart"/>
      <w:r w:rsidRPr="003B29D2">
        <w:rPr>
          <w:b/>
        </w:rPr>
        <w:t>siltums</w:t>
      </w:r>
      <w:proofErr w:type="spellEnd"/>
      <w:r w:rsidRPr="003B29D2">
        <w:rPr>
          <w:b/>
        </w:rPr>
        <w:t xml:space="preserve">” </w:t>
      </w:r>
      <w:proofErr w:type="spellStart"/>
      <w:r w:rsidRPr="003B29D2">
        <w:rPr>
          <w:b/>
        </w:rPr>
        <w:t>siltumenerģijas</w:t>
      </w:r>
      <w:proofErr w:type="spellEnd"/>
      <w:r w:rsidRPr="003B29D2">
        <w:rPr>
          <w:b/>
        </w:rPr>
        <w:t xml:space="preserve"> </w:t>
      </w:r>
      <w:proofErr w:type="spellStart"/>
      <w:r w:rsidRPr="003B29D2">
        <w:rPr>
          <w:b/>
        </w:rPr>
        <w:t>ražošanai</w:t>
      </w:r>
      <w:proofErr w:type="spellEnd"/>
      <w:r w:rsidRPr="003B29D2">
        <w:rPr>
          <w:b/>
        </w:rPr>
        <w:t xml:space="preserve"> 2023</w:t>
      </w:r>
      <w:proofErr w:type="gramStart"/>
      <w:r w:rsidRPr="003B29D2">
        <w:rPr>
          <w:b/>
        </w:rPr>
        <w:t>.</w:t>
      </w:r>
      <w:r>
        <w:rPr>
          <w:b/>
        </w:rPr>
        <w:t>/</w:t>
      </w:r>
      <w:proofErr w:type="gramEnd"/>
      <w:r>
        <w:rPr>
          <w:b/>
        </w:rPr>
        <w:t>2024.</w:t>
      </w:r>
      <w:r w:rsidRPr="003B29D2">
        <w:rPr>
          <w:b/>
        </w:rPr>
        <w:t xml:space="preserve"> </w:t>
      </w:r>
      <w:proofErr w:type="spellStart"/>
      <w:proofErr w:type="gramStart"/>
      <w:r w:rsidRPr="003B29D2">
        <w:rPr>
          <w:b/>
        </w:rPr>
        <w:t>gada</w:t>
      </w:r>
      <w:proofErr w:type="spellEnd"/>
      <w:proofErr w:type="gramEnd"/>
      <w:r w:rsidRPr="003B29D2">
        <w:rPr>
          <w:b/>
        </w:rPr>
        <w:t xml:space="preserve"> </w:t>
      </w:r>
      <w:proofErr w:type="spellStart"/>
      <w:r>
        <w:rPr>
          <w:b/>
        </w:rPr>
        <w:t>apkures</w:t>
      </w:r>
      <w:proofErr w:type="spellEnd"/>
      <w:r w:rsidRPr="003B29D2">
        <w:rPr>
          <w:b/>
        </w:rPr>
        <w:t xml:space="preserve"> (no </w:t>
      </w:r>
      <w:r>
        <w:rPr>
          <w:b/>
        </w:rPr>
        <w:t>13</w:t>
      </w:r>
      <w:r w:rsidRPr="003B29D2">
        <w:rPr>
          <w:b/>
        </w:rPr>
        <w:t>.</w:t>
      </w:r>
      <w:r>
        <w:rPr>
          <w:b/>
        </w:rPr>
        <w:t>12</w:t>
      </w:r>
      <w:r w:rsidRPr="003B29D2">
        <w:rPr>
          <w:b/>
        </w:rPr>
        <w:t>.2023.- 3</w:t>
      </w:r>
      <w:r>
        <w:rPr>
          <w:b/>
        </w:rPr>
        <w:t>0</w:t>
      </w:r>
      <w:r w:rsidRPr="003B29D2">
        <w:rPr>
          <w:b/>
        </w:rPr>
        <w:t>.</w:t>
      </w:r>
      <w:r>
        <w:rPr>
          <w:b/>
        </w:rPr>
        <w:t>04</w:t>
      </w:r>
      <w:r w:rsidRPr="003B29D2">
        <w:rPr>
          <w:b/>
        </w:rPr>
        <w:t>.202</w:t>
      </w:r>
      <w:r>
        <w:rPr>
          <w:b/>
        </w:rPr>
        <w:t>4</w:t>
      </w:r>
      <w:r w:rsidRPr="003B29D2">
        <w:rPr>
          <w:b/>
        </w:rPr>
        <w:t xml:space="preserve">.) </w:t>
      </w:r>
      <w:proofErr w:type="spellStart"/>
      <w:r w:rsidRPr="003B29D2">
        <w:rPr>
          <w:b/>
        </w:rPr>
        <w:t>sezonā</w:t>
      </w:r>
      <w:proofErr w:type="spellEnd"/>
      <w:r w:rsidRPr="003B29D2">
        <w:rPr>
          <w:b/>
        </w:rPr>
        <w:t xml:space="preserve"> </w:t>
      </w:r>
      <w:proofErr w:type="spellStart"/>
      <w:r>
        <w:rPr>
          <w:b/>
          <w:bCs/>
          <w:color w:val="201F1E"/>
          <w:shd w:val="clear" w:color="auto" w:fill="FFFFFF"/>
        </w:rPr>
        <w:t>Ķieģeļu</w:t>
      </w:r>
      <w:proofErr w:type="spellEnd"/>
      <w:r w:rsidRPr="003B29D2">
        <w:rPr>
          <w:b/>
          <w:bCs/>
          <w:color w:val="201F1E"/>
          <w:shd w:val="clear" w:color="auto" w:fill="FFFFFF"/>
        </w:rPr>
        <w:t xml:space="preserve"> </w:t>
      </w:r>
      <w:proofErr w:type="spellStart"/>
      <w:r w:rsidRPr="003B29D2">
        <w:rPr>
          <w:b/>
          <w:bCs/>
          <w:color w:val="201F1E"/>
          <w:shd w:val="clear" w:color="auto" w:fill="FFFFFF"/>
        </w:rPr>
        <w:t>ielas</w:t>
      </w:r>
      <w:proofErr w:type="spellEnd"/>
      <w:r w:rsidRPr="003B29D2">
        <w:rPr>
          <w:b/>
          <w:bCs/>
          <w:color w:val="201F1E"/>
          <w:shd w:val="clear" w:color="auto" w:fill="FFFFFF"/>
        </w:rPr>
        <w:t xml:space="preserve"> 13</w:t>
      </w:r>
      <w:r>
        <w:rPr>
          <w:b/>
          <w:bCs/>
          <w:color w:val="201F1E"/>
          <w:shd w:val="clear" w:color="auto" w:fill="FFFFFF"/>
        </w:rPr>
        <w:t>D</w:t>
      </w:r>
      <w:r w:rsidRPr="003B29D2">
        <w:rPr>
          <w:b/>
          <w:bCs/>
          <w:color w:val="201F1E"/>
          <w:shd w:val="clear" w:color="auto" w:fill="FFFFFF"/>
        </w:rPr>
        <w:t xml:space="preserve">, </w:t>
      </w:r>
      <w:proofErr w:type="spellStart"/>
      <w:r w:rsidRPr="003B29D2">
        <w:rPr>
          <w:b/>
          <w:bCs/>
          <w:color w:val="201F1E"/>
          <w:shd w:val="clear" w:color="auto" w:fill="FFFFFF"/>
        </w:rPr>
        <w:t>Jēkabpilī</w:t>
      </w:r>
      <w:proofErr w:type="spellEnd"/>
      <w:r w:rsidRPr="003B29D2">
        <w:rPr>
          <w:b/>
          <w:bCs/>
          <w:color w:val="201F1E"/>
          <w:shd w:val="clear" w:color="auto" w:fill="FFFFFF"/>
        </w:rPr>
        <w:t xml:space="preserve">, </w:t>
      </w:r>
      <w:proofErr w:type="spellStart"/>
      <w:r w:rsidRPr="003B29D2">
        <w:rPr>
          <w:b/>
          <w:bCs/>
          <w:color w:val="201F1E"/>
          <w:shd w:val="clear" w:color="auto" w:fill="FFFFFF"/>
        </w:rPr>
        <w:t>Jēkabpils</w:t>
      </w:r>
      <w:proofErr w:type="spellEnd"/>
      <w:r w:rsidRPr="003B29D2">
        <w:rPr>
          <w:b/>
          <w:bCs/>
          <w:color w:val="201F1E"/>
          <w:shd w:val="clear" w:color="auto" w:fill="FFFFFF"/>
        </w:rPr>
        <w:t xml:space="preserve"> </w:t>
      </w:r>
      <w:proofErr w:type="spellStart"/>
      <w:r w:rsidRPr="003B29D2">
        <w:rPr>
          <w:b/>
          <w:bCs/>
          <w:color w:val="201F1E"/>
          <w:shd w:val="clear" w:color="auto" w:fill="FFFFFF"/>
        </w:rPr>
        <w:t>novadā</w:t>
      </w:r>
      <w:r w:rsidRPr="003B29D2">
        <w:rPr>
          <w:b/>
          <w:bCs/>
          <w:lang w:eastAsia="zh-CN"/>
        </w:rPr>
        <w:t>katlu</w:t>
      </w:r>
      <w:proofErr w:type="spellEnd"/>
      <w:r w:rsidRPr="003B29D2">
        <w:rPr>
          <w:b/>
          <w:bCs/>
          <w:lang w:eastAsia="zh-CN"/>
        </w:rPr>
        <w:t xml:space="preserve"> </w:t>
      </w:r>
      <w:proofErr w:type="spellStart"/>
      <w:r w:rsidRPr="003B29D2">
        <w:rPr>
          <w:b/>
          <w:bCs/>
          <w:lang w:eastAsia="zh-CN"/>
        </w:rPr>
        <w:t>mājai</w:t>
      </w:r>
      <w:proofErr w:type="spellEnd"/>
      <w:r w:rsidRPr="003B29D2">
        <w:rPr>
          <w:b/>
        </w:rPr>
        <w:t>”</w:t>
      </w:r>
    </w:p>
    <w:p w:rsidR="00350364" w:rsidRPr="003B29D2" w:rsidRDefault="00350364" w:rsidP="00350364">
      <w:pPr>
        <w:tabs>
          <w:tab w:val="right" w:pos="9214"/>
        </w:tabs>
        <w:spacing w:line="259" w:lineRule="auto"/>
        <w:contextualSpacing/>
        <w:jc w:val="center"/>
        <w:rPr>
          <w:b/>
        </w:rPr>
      </w:pPr>
      <w:r w:rsidRPr="003B29D2">
        <w:rPr>
          <w:b/>
        </w:rPr>
        <w:t>(</w:t>
      </w:r>
      <w:proofErr w:type="spellStart"/>
      <w:r w:rsidRPr="003B29D2">
        <w:rPr>
          <w:b/>
        </w:rPr>
        <w:t>Identifikācijas</w:t>
      </w:r>
      <w:proofErr w:type="spellEnd"/>
      <w:r w:rsidRPr="003B29D2">
        <w:rPr>
          <w:b/>
        </w:rPr>
        <w:t xml:space="preserve"> Nr. JS/2023/</w:t>
      </w:r>
      <w:r>
        <w:rPr>
          <w:b/>
        </w:rPr>
        <w:t>11</w:t>
      </w:r>
      <w:r w:rsidRPr="003B29D2">
        <w:rPr>
          <w:b/>
        </w:rPr>
        <w:t>)</w:t>
      </w:r>
    </w:p>
    <w:p w:rsidR="00350364" w:rsidRPr="003B29D2" w:rsidRDefault="00350364" w:rsidP="00350364">
      <w:pPr>
        <w:tabs>
          <w:tab w:val="right" w:pos="9214"/>
        </w:tabs>
        <w:spacing w:line="259" w:lineRule="auto"/>
        <w:contextualSpacing/>
        <w:jc w:val="center"/>
        <w:rPr>
          <w:b/>
        </w:rPr>
      </w:pPr>
    </w:p>
    <w:tbl>
      <w:tblPr>
        <w:tblStyle w:val="Reatabula"/>
        <w:tblW w:w="9183" w:type="dxa"/>
        <w:tblLayout w:type="fixed"/>
        <w:tblLook w:val="04A0"/>
      </w:tblPr>
      <w:tblGrid>
        <w:gridCol w:w="2898"/>
        <w:gridCol w:w="6276"/>
        <w:gridCol w:w="9"/>
      </w:tblGrid>
      <w:tr w:rsidR="00350364" w:rsidRPr="003B29D2" w:rsidTr="00683095">
        <w:tc>
          <w:tcPr>
            <w:tcW w:w="9183" w:type="dxa"/>
            <w:gridSpan w:val="3"/>
          </w:tcPr>
          <w:p w:rsidR="00350364" w:rsidRPr="003B29D2" w:rsidRDefault="00350364" w:rsidP="00350364">
            <w:pPr>
              <w:pStyle w:val="Sarakstarindkopa"/>
              <w:numPr>
                <w:ilvl w:val="0"/>
                <w:numId w:val="1"/>
              </w:numPr>
              <w:tabs>
                <w:tab w:val="right" w:pos="9214"/>
              </w:tabs>
              <w:jc w:val="both"/>
              <w:rPr>
                <w:rFonts w:eastAsiaTheme="minorHAnsi"/>
              </w:rPr>
            </w:pPr>
            <w:r w:rsidRPr="003B29D2">
              <w:rPr>
                <w:rFonts w:eastAsiaTheme="minorHAnsi"/>
                <w:szCs w:val="22"/>
              </w:rPr>
              <w:t>Kurināmā (koksnes šķeldas) prasības</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Piegādes adrese:</w:t>
            </w:r>
          </w:p>
        </w:tc>
        <w:tc>
          <w:tcPr>
            <w:tcW w:w="6276" w:type="dxa"/>
          </w:tcPr>
          <w:p w:rsidR="00350364" w:rsidRPr="003B29D2" w:rsidRDefault="00350364" w:rsidP="00683095">
            <w:pPr>
              <w:tabs>
                <w:tab w:val="right" w:pos="9214"/>
              </w:tabs>
              <w:jc w:val="both"/>
              <w:rPr>
                <w:rFonts w:ascii="Times New Roman" w:hAnsi="Times New Roman"/>
              </w:rPr>
            </w:pPr>
            <w:r>
              <w:rPr>
                <w:rFonts w:ascii="Times New Roman" w:hAnsi="Times New Roman"/>
              </w:rPr>
              <w:t>Ķieģeļu</w:t>
            </w:r>
            <w:r w:rsidRPr="003B29D2">
              <w:rPr>
                <w:rFonts w:ascii="Times New Roman" w:hAnsi="Times New Roman"/>
              </w:rPr>
              <w:t xml:space="preserve"> iela 13</w:t>
            </w:r>
            <w:r>
              <w:rPr>
                <w:rFonts w:ascii="Times New Roman" w:hAnsi="Times New Roman"/>
              </w:rPr>
              <w:t>D</w:t>
            </w:r>
            <w:r w:rsidRPr="003B29D2">
              <w:rPr>
                <w:rFonts w:ascii="Times New Roman" w:hAnsi="Times New Roman"/>
              </w:rPr>
              <w:t>, Jēkabpils, Jēkabpils novads</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lang w:eastAsia="lv-LV"/>
              </w:rPr>
              <w:t>Šķeldas kopējais apjoms</w:t>
            </w:r>
          </w:p>
        </w:tc>
        <w:tc>
          <w:tcPr>
            <w:tcW w:w="6276" w:type="dxa"/>
          </w:tcPr>
          <w:p w:rsidR="00350364" w:rsidRPr="003B29D2" w:rsidRDefault="00350364" w:rsidP="00683095">
            <w:pPr>
              <w:tabs>
                <w:tab w:val="right" w:pos="9214"/>
              </w:tabs>
              <w:jc w:val="both"/>
              <w:rPr>
                <w:rFonts w:ascii="Times New Roman" w:hAnsi="Times New Roman"/>
                <w:bCs/>
              </w:rPr>
            </w:pPr>
            <w:r>
              <w:rPr>
                <w:rFonts w:ascii="Times New Roman" w:hAnsi="Times New Roman"/>
                <w:bCs/>
              </w:rPr>
              <w:t>Ķieģeļ</w:t>
            </w:r>
            <w:r w:rsidRPr="003B29D2">
              <w:rPr>
                <w:rFonts w:ascii="Times New Roman" w:hAnsi="Times New Roman"/>
                <w:bCs/>
              </w:rPr>
              <w:t>u iela 13</w:t>
            </w:r>
            <w:r>
              <w:rPr>
                <w:rFonts w:ascii="Times New Roman" w:hAnsi="Times New Roman"/>
                <w:bCs/>
              </w:rPr>
              <w:t>D</w:t>
            </w:r>
            <w:r w:rsidRPr="003B29D2">
              <w:rPr>
                <w:rFonts w:ascii="Times New Roman" w:hAnsi="Times New Roman"/>
                <w:bCs/>
              </w:rPr>
              <w:t>, Jēkabpils, Jēkabpils novads</w:t>
            </w:r>
          </w:p>
          <w:p w:rsidR="00350364" w:rsidRPr="003B29D2" w:rsidRDefault="00350364" w:rsidP="00683095">
            <w:pPr>
              <w:jc w:val="both"/>
              <w:rPr>
                <w:rFonts w:ascii="Times New Roman" w:hAnsi="Times New Roman"/>
                <w:bCs/>
                <w:vertAlign w:val="superscript"/>
                <w:lang w:eastAsia="lv-LV"/>
              </w:rPr>
            </w:pPr>
            <w:r>
              <w:rPr>
                <w:rFonts w:ascii="Times New Roman" w:hAnsi="Times New Roman"/>
                <w:bCs/>
                <w:lang w:eastAsia="lv-LV"/>
              </w:rPr>
              <w:t>40</w:t>
            </w:r>
            <w:r w:rsidRPr="003B29D2">
              <w:rPr>
                <w:rFonts w:ascii="Times New Roman" w:hAnsi="Times New Roman"/>
                <w:bCs/>
                <w:lang w:eastAsia="lv-LV"/>
              </w:rPr>
              <w:t>00 ber.m</w:t>
            </w:r>
            <w:r w:rsidRPr="003B29D2">
              <w:rPr>
                <w:rFonts w:ascii="Times New Roman" w:hAnsi="Times New Roman"/>
                <w:bCs/>
                <w:vertAlign w:val="superscript"/>
                <w:lang w:eastAsia="lv-LV"/>
              </w:rPr>
              <w:t>3</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Šķeldas frakcijas izmēri vidēji</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10÷70 mm</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lang w:eastAsia="lv-LV"/>
              </w:rPr>
            </w:pPr>
            <w:r w:rsidRPr="003B29D2">
              <w:rPr>
                <w:rFonts w:ascii="Times New Roman" w:hAnsi="Times New Roman"/>
              </w:rPr>
              <w:t>biezums</w:t>
            </w:r>
          </w:p>
        </w:tc>
        <w:tc>
          <w:tcPr>
            <w:tcW w:w="6276" w:type="dxa"/>
          </w:tcPr>
          <w:p w:rsidR="00350364" w:rsidRPr="003B29D2" w:rsidRDefault="00350364" w:rsidP="00683095">
            <w:pPr>
              <w:tabs>
                <w:tab w:val="right" w:pos="9214"/>
              </w:tabs>
              <w:jc w:val="both"/>
              <w:rPr>
                <w:rFonts w:ascii="Times New Roman" w:hAnsi="Times New Roman"/>
                <w:bCs/>
              </w:rPr>
            </w:pPr>
            <w:r w:rsidRPr="003B29D2">
              <w:rPr>
                <w:rFonts w:ascii="Times New Roman" w:hAnsi="Times New Roman"/>
              </w:rPr>
              <w:t xml:space="preserve">5÷20 mm </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lang w:eastAsia="lv-LV"/>
              </w:rPr>
            </w:pPr>
            <w:r w:rsidRPr="003B29D2">
              <w:rPr>
                <w:rFonts w:ascii="Times New Roman" w:hAnsi="Times New Roman"/>
              </w:rPr>
              <w:t>platums</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 xml:space="preserve">5÷50 mm </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garums</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 xml:space="preserve">10÷100 mm </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garums</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ne vairāk kā 1% 100÷150 mm</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garums</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ne vairāk par 5% zem 10 mm</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Mitrums</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35% (min) ÷ 55% (</w:t>
            </w:r>
            <w:proofErr w:type="spellStart"/>
            <w:r w:rsidRPr="003B29D2">
              <w:rPr>
                <w:rFonts w:ascii="Times New Roman" w:hAnsi="Times New Roman"/>
              </w:rPr>
              <w:t>max</w:t>
            </w:r>
            <w:proofErr w:type="spellEnd"/>
            <w:r w:rsidRPr="003B29D2">
              <w:rPr>
                <w:rFonts w:ascii="Times New Roman" w:hAnsi="Times New Roman"/>
              </w:rPr>
              <w:t>)</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Koksnes mizas saturs šķeldā</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ne lielāks par 5% no kopējā tilpumam</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trupe</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ne lielāka par 1%</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zāģu skaidas</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ne lielāka par 1%</w:t>
            </w:r>
            <w:r w:rsidRPr="003B29D2">
              <w:rPr>
                <w:rFonts w:ascii="Times New Roman" w:hAnsi="Times New Roman"/>
              </w:rPr>
              <w:tab/>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Zaru šķeldas piejaukums</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ne lielāka par 10%</w:t>
            </w:r>
          </w:p>
        </w:tc>
      </w:tr>
      <w:tr w:rsidR="00350364" w:rsidRPr="003B29D2" w:rsidTr="00683095">
        <w:trPr>
          <w:gridAfter w:val="1"/>
          <w:wAfter w:w="9" w:type="dxa"/>
        </w:trPr>
        <w:tc>
          <w:tcPr>
            <w:tcW w:w="2898"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Pelnu saturs</w:t>
            </w:r>
          </w:p>
        </w:tc>
        <w:tc>
          <w:tcPr>
            <w:tcW w:w="6276" w:type="dxa"/>
          </w:tcPr>
          <w:p w:rsidR="00350364" w:rsidRPr="003B29D2" w:rsidRDefault="00350364" w:rsidP="00683095">
            <w:pPr>
              <w:tabs>
                <w:tab w:val="right" w:pos="9214"/>
              </w:tabs>
              <w:jc w:val="both"/>
              <w:rPr>
                <w:rFonts w:ascii="Times New Roman" w:hAnsi="Times New Roman"/>
              </w:rPr>
            </w:pPr>
            <w:r w:rsidRPr="003B29D2">
              <w:rPr>
                <w:rFonts w:ascii="Times New Roman" w:hAnsi="Times New Roman"/>
              </w:rPr>
              <w:t>1÷4 %</w:t>
            </w:r>
          </w:p>
        </w:tc>
      </w:tr>
      <w:tr w:rsidR="00350364" w:rsidRPr="003B29D2" w:rsidTr="00683095">
        <w:tc>
          <w:tcPr>
            <w:tcW w:w="9183" w:type="dxa"/>
            <w:gridSpan w:val="3"/>
          </w:tcPr>
          <w:p w:rsidR="00350364" w:rsidRPr="003B29D2" w:rsidRDefault="00350364" w:rsidP="00350364">
            <w:pPr>
              <w:pStyle w:val="Sarakstarindkopa"/>
              <w:numPr>
                <w:ilvl w:val="0"/>
                <w:numId w:val="1"/>
              </w:numPr>
              <w:tabs>
                <w:tab w:val="left" w:pos="288"/>
              </w:tabs>
              <w:ind w:left="0" w:firstLine="0"/>
              <w:jc w:val="both"/>
              <w:rPr>
                <w:rFonts w:eastAsiaTheme="minorHAnsi"/>
              </w:rPr>
            </w:pPr>
            <w:bookmarkStart w:id="0" w:name="_Hlk107496155"/>
            <w:r w:rsidRPr="003B29D2">
              <w:rPr>
                <w:rFonts w:eastAsiaTheme="minorHAnsi"/>
                <w:szCs w:val="22"/>
              </w:rPr>
              <w:t>Nav pieļaujami kluču un to atgriezumu, laminēta, krāsota vai lakota koka, metāla, plastmasas, akmeņu, asfalta gabalu, zemes, stikla un citu svešķermeņu piejaukumi, sasaluši kurināmā gabali, sniega gabali, ledus gabali, sāļi (</w:t>
            </w:r>
            <w:proofErr w:type="spellStart"/>
            <w:r w:rsidRPr="003B29D2">
              <w:rPr>
                <w:rFonts w:eastAsiaTheme="minorHAnsi"/>
                <w:szCs w:val="22"/>
              </w:rPr>
              <w:t>NaCl</w:t>
            </w:r>
            <w:proofErr w:type="spellEnd"/>
            <w:r w:rsidRPr="003B29D2">
              <w:rPr>
                <w:rFonts w:eastAsiaTheme="minorHAnsi"/>
                <w:szCs w:val="22"/>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tc>
      </w:tr>
      <w:tr w:rsidR="00350364" w:rsidRPr="003B29D2" w:rsidTr="00683095">
        <w:tc>
          <w:tcPr>
            <w:tcW w:w="9183" w:type="dxa"/>
            <w:gridSpan w:val="3"/>
          </w:tcPr>
          <w:p w:rsidR="00350364" w:rsidRPr="003B29D2" w:rsidRDefault="00350364" w:rsidP="00350364">
            <w:pPr>
              <w:pStyle w:val="Sarakstarindkopa"/>
              <w:numPr>
                <w:ilvl w:val="0"/>
                <w:numId w:val="1"/>
              </w:numPr>
              <w:tabs>
                <w:tab w:val="left" w:pos="300"/>
              </w:tabs>
              <w:ind w:left="34" w:hanging="34"/>
              <w:jc w:val="both"/>
              <w:rPr>
                <w:rFonts w:eastAsiaTheme="minorHAnsi"/>
              </w:rPr>
            </w:pPr>
            <w:r w:rsidRPr="003B29D2">
              <w:rPr>
                <w:rFonts w:eastAsiaTheme="minorHAnsi"/>
                <w:szCs w:val="22"/>
              </w:rPr>
              <w:t xml:space="preserve">Koksnes šķeldas pieņemšana notiek </w:t>
            </w:r>
            <w:r w:rsidRPr="003B29D2">
              <w:rPr>
                <w:rFonts w:eastAsiaTheme="minorHAnsi"/>
                <w:szCs w:val="22"/>
                <w:lang w:eastAsia="lv-LV"/>
              </w:rPr>
              <w:t>ber.m</w:t>
            </w:r>
            <w:r w:rsidRPr="003B29D2">
              <w:rPr>
                <w:rFonts w:eastAsiaTheme="minorHAnsi"/>
                <w:szCs w:val="22"/>
                <w:vertAlign w:val="superscript"/>
                <w:lang w:eastAsia="lv-LV"/>
              </w:rPr>
              <w:t>3</w:t>
            </w:r>
          </w:p>
        </w:tc>
      </w:tr>
      <w:tr w:rsidR="00350364" w:rsidRPr="003B29D2" w:rsidTr="00683095">
        <w:tc>
          <w:tcPr>
            <w:tcW w:w="9183" w:type="dxa"/>
            <w:gridSpan w:val="3"/>
          </w:tcPr>
          <w:p w:rsidR="00350364" w:rsidRPr="003B29D2" w:rsidRDefault="00350364" w:rsidP="00350364">
            <w:pPr>
              <w:pStyle w:val="Sarakstarindkopa"/>
              <w:numPr>
                <w:ilvl w:val="0"/>
                <w:numId w:val="1"/>
              </w:numPr>
              <w:tabs>
                <w:tab w:val="left" w:pos="300"/>
              </w:tabs>
              <w:ind w:left="34" w:hanging="34"/>
              <w:jc w:val="both"/>
              <w:rPr>
                <w:rFonts w:eastAsiaTheme="minorHAnsi"/>
              </w:rPr>
            </w:pPr>
            <w:r w:rsidRPr="003B29D2">
              <w:rPr>
                <w:rFonts w:eastAsiaTheme="minorHAnsi"/>
                <w:szCs w:val="22"/>
              </w:rPr>
              <w:t>Ja koksnes šķeldas kvalitāte vizuāli novērtējot neatbilst prasībām, tad, sastādot aktu</w:t>
            </w:r>
            <w:r w:rsidRPr="006258B9">
              <w:rPr>
                <w:rFonts w:eastAsiaTheme="minorHAnsi"/>
                <w:color w:val="FF0000"/>
                <w:szCs w:val="22"/>
              </w:rPr>
              <w:t xml:space="preserve">, </w:t>
            </w:r>
            <w:r w:rsidRPr="003B29D2">
              <w:rPr>
                <w:rFonts w:eastAsiaTheme="minorHAnsi"/>
                <w:szCs w:val="22"/>
              </w:rPr>
              <w:t xml:space="preserve">pasūtītājam ir tiesības nepieņemt kravu, </w:t>
            </w:r>
            <w:r w:rsidRPr="003B29D2">
              <w:rPr>
                <w:rFonts w:eastAsiaTheme="minorHAnsi"/>
                <w:bCs/>
                <w:iCs/>
                <w:szCs w:val="22"/>
              </w:rPr>
              <w:t>Piegādātājam jāpiegādā cita krava atbilstoši kvalitātes prasībām.</w:t>
            </w:r>
          </w:p>
        </w:tc>
      </w:tr>
      <w:tr w:rsidR="00350364" w:rsidRPr="003B29D2" w:rsidTr="00683095">
        <w:tc>
          <w:tcPr>
            <w:tcW w:w="9183" w:type="dxa"/>
            <w:gridSpan w:val="3"/>
          </w:tcPr>
          <w:p w:rsidR="00350364" w:rsidRPr="003B29D2" w:rsidRDefault="00350364" w:rsidP="00350364">
            <w:pPr>
              <w:pStyle w:val="Sarakstarindkopa"/>
              <w:numPr>
                <w:ilvl w:val="0"/>
                <w:numId w:val="1"/>
              </w:numPr>
              <w:tabs>
                <w:tab w:val="left" w:pos="300"/>
              </w:tabs>
              <w:ind w:left="34" w:hanging="34"/>
              <w:jc w:val="both"/>
              <w:rPr>
                <w:rFonts w:eastAsiaTheme="minorHAnsi"/>
              </w:rPr>
            </w:pPr>
            <w:r w:rsidRPr="003B29D2">
              <w:rPr>
                <w:color w:val="000000"/>
                <w:szCs w:val="22"/>
              </w:rPr>
              <w:t xml:space="preserve">Šķeldas piegāde tiek nodrošināta ar piegādātāja transportu, ar piegādātāja iekraušanu un izkraušanu piegādes vietās (izmaksas par piegādi ir jāiekļauj cenā). </w:t>
            </w:r>
          </w:p>
        </w:tc>
      </w:tr>
      <w:tr w:rsidR="00350364" w:rsidRPr="003B29D2" w:rsidTr="00683095">
        <w:tc>
          <w:tcPr>
            <w:tcW w:w="9183" w:type="dxa"/>
            <w:gridSpan w:val="3"/>
          </w:tcPr>
          <w:p w:rsidR="00350364" w:rsidRPr="003B29D2" w:rsidRDefault="00350364" w:rsidP="00350364">
            <w:pPr>
              <w:pStyle w:val="Sarakstarindkopa"/>
              <w:numPr>
                <w:ilvl w:val="0"/>
                <w:numId w:val="1"/>
              </w:numPr>
              <w:tabs>
                <w:tab w:val="left" w:pos="300"/>
              </w:tabs>
              <w:ind w:left="34" w:hanging="34"/>
              <w:jc w:val="both"/>
              <w:rPr>
                <w:color w:val="000000"/>
              </w:rPr>
            </w:pPr>
            <w:r w:rsidRPr="003B29D2">
              <w:rPr>
                <w:color w:val="000000"/>
                <w:szCs w:val="22"/>
              </w:rPr>
              <w:t>Šķeldas piegāde veicama ar piegādātāja transportu līdz norādītai vietai</w:t>
            </w:r>
            <w:r w:rsidRPr="003B29D2">
              <w:rPr>
                <w:szCs w:val="22"/>
              </w:rPr>
              <w:t>, no pirmdienas līdz svētdienai, no plkst. 8.00 līdz plkst. 18.00.</w:t>
            </w:r>
          </w:p>
        </w:tc>
      </w:tr>
      <w:tr w:rsidR="00350364" w:rsidRPr="003B29D2" w:rsidTr="00683095">
        <w:tc>
          <w:tcPr>
            <w:tcW w:w="9183" w:type="dxa"/>
            <w:gridSpan w:val="3"/>
          </w:tcPr>
          <w:p w:rsidR="00350364" w:rsidRPr="003B29D2" w:rsidRDefault="00350364" w:rsidP="00350364">
            <w:pPr>
              <w:pStyle w:val="Sarakstarindkopa"/>
              <w:numPr>
                <w:ilvl w:val="0"/>
                <w:numId w:val="1"/>
              </w:numPr>
              <w:tabs>
                <w:tab w:val="left" w:pos="300"/>
              </w:tabs>
              <w:ind w:left="34" w:hanging="34"/>
              <w:jc w:val="both"/>
              <w:rPr>
                <w:color w:val="000000"/>
              </w:rPr>
            </w:pPr>
            <w:r w:rsidRPr="00A74279">
              <w:rPr>
                <w:szCs w:val="22"/>
              </w:rPr>
              <w:t>Ja šķeldas daudzums, kvalitāte, neatbilst norādītājai Šķeldas tehniskajai specifikācijai, Pasūtītāja Atbildīgai personai ir tiesības atteikties no šķeldas pieņemšanas, nekavējoties par to informējot Piegādātāja transportlīdzekļa vadītāju un Piegādātāja kontaktpersonu.</w:t>
            </w:r>
          </w:p>
        </w:tc>
      </w:tr>
      <w:bookmarkEnd w:id="0"/>
    </w:tbl>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350364" w:rsidRPr="003B29D2" w:rsidRDefault="00350364" w:rsidP="00350364">
      <w:pPr>
        <w:suppressAutoHyphens/>
        <w:spacing w:line="259" w:lineRule="auto"/>
        <w:contextualSpacing/>
        <w:rPr>
          <w:rFonts w:eastAsiaTheme="minorHAnsi"/>
          <w:b/>
          <w:lang w:eastAsia="ar-SA"/>
        </w:rPr>
      </w:pPr>
    </w:p>
    <w:p w:rsidR="001A3F80" w:rsidRDefault="001A3F80"/>
    <w:sectPr w:rsidR="001A3F8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A59EC"/>
    <w:multiLevelType w:val="hybridMultilevel"/>
    <w:tmpl w:val="BBA89C52"/>
    <w:lvl w:ilvl="0" w:tplc="0426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0364"/>
    <w:rsid w:val="001A3F80"/>
    <w:rsid w:val="00350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350364"/>
    <w:pPr>
      <w:spacing w:after="0" w:line="240" w:lineRule="auto"/>
      <w:ind w:left="720"/>
      <w:contextualSpacing/>
    </w:pPr>
    <w:rPr>
      <w:rFonts w:ascii="Times New Roman" w:eastAsia="Times New Roman" w:hAnsi="Times New Roman" w:cs="Times New Roman"/>
      <w:sz w:val="24"/>
      <w:szCs w:val="24"/>
      <w:lang w:val="lv-LV"/>
    </w:rPr>
  </w:style>
  <w:style w:type="table" w:styleId="Reatabula">
    <w:name w:val="Table Grid"/>
    <w:basedOn w:val="Parastatabula"/>
    <w:uiPriority w:val="39"/>
    <w:rsid w:val="00350364"/>
    <w:pPr>
      <w:spacing w:after="0" w:line="240" w:lineRule="auto"/>
    </w:pPr>
    <w:rPr>
      <w:rFonts w:eastAsiaTheme="minorHAnsi"/>
      <w:lang w:val="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Sležis</dc:creator>
  <cp:keywords/>
  <dc:description/>
  <cp:lastModifiedBy>Kaspars Sležis</cp:lastModifiedBy>
  <cp:revision>2</cp:revision>
  <dcterms:created xsi:type="dcterms:W3CDTF">2023-12-01T11:08:00Z</dcterms:created>
  <dcterms:modified xsi:type="dcterms:W3CDTF">2023-12-01T11:08:00Z</dcterms:modified>
</cp:coreProperties>
</file>