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F58E9" w14:textId="77777777" w:rsidR="00D41279" w:rsidRPr="003B29D2" w:rsidRDefault="00D41279" w:rsidP="00E61A5C">
      <w:pPr>
        <w:autoSpaceDE w:val="0"/>
        <w:autoSpaceDN w:val="0"/>
        <w:adjustRightInd w:val="0"/>
        <w:contextualSpacing/>
        <w:rPr>
          <w:b/>
          <w:bCs/>
        </w:rPr>
      </w:pPr>
    </w:p>
    <w:p w14:paraId="6D8CE8FC" w14:textId="38F01147" w:rsidR="0093181F" w:rsidRPr="0053314D" w:rsidRDefault="0093181F" w:rsidP="0093181F">
      <w:pPr>
        <w:autoSpaceDE w:val="0"/>
        <w:autoSpaceDN w:val="0"/>
        <w:adjustRightInd w:val="0"/>
        <w:contextualSpacing/>
        <w:jc w:val="right"/>
      </w:pPr>
      <w:r w:rsidRPr="0053314D">
        <w:t>2.pielikums</w:t>
      </w:r>
    </w:p>
    <w:p w14:paraId="51D2F7E4" w14:textId="77777777" w:rsidR="0093181F" w:rsidRPr="003B29D2" w:rsidRDefault="0093181F" w:rsidP="0093181F">
      <w:pPr>
        <w:autoSpaceDE w:val="0"/>
        <w:autoSpaceDN w:val="0"/>
        <w:adjustRightInd w:val="0"/>
        <w:contextualSpacing/>
        <w:jc w:val="center"/>
        <w:rPr>
          <w:b/>
          <w:bCs/>
        </w:rPr>
      </w:pPr>
    </w:p>
    <w:p w14:paraId="5B3DBC7F" w14:textId="77777777" w:rsidR="00191B5C" w:rsidRPr="003B29D2" w:rsidRDefault="0093181F" w:rsidP="00191B5C">
      <w:pPr>
        <w:tabs>
          <w:tab w:val="right" w:pos="9214"/>
        </w:tabs>
        <w:spacing w:line="259" w:lineRule="auto"/>
        <w:contextualSpacing/>
        <w:jc w:val="center"/>
        <w:rPr>
          <w:b/>
          <w:bCs/>
        </w:rPr>
      </w:pPr>
      <w:r w:rsidRPr="003B29D2">
        <w:rPr>
          <w:b/>
          <w:bCs/>
        </w:rPr>
        <w:t>ŠĶELDAS TEHNISKĀ SPECIFIKĀCIJA</w:t>
      </w:r>
      <w:r w:rsidR="00191B5C" w:rsidRPr="003B29D2">
        <w:rPr>
          <w:b/>
          <w:bCs/>
        </w:rPr>
        <w:t xml:space="preserve"> </w:t>
      </w:r>
    </w:p>
    <w:p w14:paraId="0070AAA7" w14:textId="70996137" w:rsidR="009E28B6" w:rsidRPr="003B29D2" w:rsidRDefault="009E28B6" w:rsidP="009E28B6">
      <w:pPr>
        <w:keepNext/>
        <w:tabs>
          <w:tab w:val="left" w:pos="1296"/>
        </w:tabs>
        <w:suppressAutoHyphens/>
        <w:spacing w:before="240" w:after="60"/>
        <w:jc w:val="center"/>
        <w:outlineLvl w:val="0"/>
        <w:rPr>
          <w:b/>
        </w:rPr>
      </w:pPr>
      <w:r w:rsidRPr="003B29D2">
        <w:rPr>
          <w:b/>
        </w:rPr>
        <w:t>“Kurināmā (koksnes šķeldas) piegāde Sabiedrības ar ierobežotu atbildību “Jēkabpils siltums” siltumenerģijas ražošanai 2023.</w:t>
      </w:r>
      <w:r w:rsidR="00CD62A5">
        <w:rPr>
          <w:b/>
        </w:rPr>
        <w:t>/2024.</w:t>
      </w:r>
      <w:r w:rsidRPr="003B29D2">
        <w:rPr>
          <w:b/>
        </w:rPr>
        <w:t xml:space="preserve"> gada </w:t>
      </w:r>
      <w:r w:rsidR="00CD62A5">
        <w:rPr>
          <w:b/>
        </w:rPr>
        <w:t>apkures</w:t>
      </w:r>
      <w:r w:rsidRPr="003B29D2">
        <w:rPr>
          <w:b/>
        </w:rPr>
        <w:t xml:space="preserve"> (no 01.</w:t>
      </w:r>
      <w:r w:rsidR="00CD62A5">
        <w:rPr>
          <w:b/>
        </w:rPr>
        <w:t>10</w:t>
      </w:r>
      <w:r w:rsidRPr="003B29D2">
        <w:rPr>
          <w:b/>
        </w:rPr>
        <w:t xml:space="preserve">.2023.- </w:t>
      </w:r>
      <w:r w:rsidR="00FA5CD2" w:rsidRPr="003B29D2">
        <w:rPr>
          <w:b/>
        </w:rPr>
        <w:t>3</w:t>
      </w:r>
      <w:r w:rsidR="00CD62A5">
        <w:rPr>
          <w:b/>
        </w:rPr>
        <w:t>1</w:t>
      </w:r>
      <w:r w:rsidR="00FA5CD2" w:rsidRPr="003B29D2">
        <w:rPr>
          <w:b/>
        </w:rPr>
        <w:t>.</w:t>
      </w:r>
      <w:r w:rsidR="00CD62A5">
        <w:rPr>
          <w:b/>
        </w:rPr>
        <w:t>12</w:t>
      </w:r>
      <w:r w:rsidR="00FA5CD2" w:rsidRPr="003B29D2">
        <w:rPr>
          <w:b/>
        </w:rPr>
        <w:t>.2023.</w:t>
      </w:r>
      <w:r w:rsidRPr="003B29D2">
        <w:rPr>
          <w:b/>
        </w:rPr>
        <w:t xml:space="preserve">) sezonā </w:t>
      </w:r>
      <w:r w:rsidR="0053314D">
        <w:rPr>
          <w:b/>
          <w:bCs/>
          <w:color w:val="201F1E"/>
          <w:shd w:val="clear" w:color="auto" w:fill="FFFFFF"/>
        </w:rPr>
        <w:t>Tvaika</w:t>
      </w:r>
      <w:r w:rsidRPr="003B29D2">
        <w:rPr>
          <w:b/>
          <w:bCs/>
          <w:color w:val="201F1E"/>
          <w:shd w:val="clear" w:color="auto" w:fill="FFFFFF"/>
        </w:rPr>
        <w:t xml:space="preserve"> ielas </w:t>
      </w:r>
      <w:r w:rsidR="0053314D">
        <w:rPr>
          <w:b/>
          <w:bCs/>
          <w:color w:val="201F1E"/>
          <w:shd w:val="clear" w:color="auto" w:fill="FFFFFF"/>
        </w:rPr>
        <w:t>4</w:t>
      </w:r>
      <w:r w:rsidRPr="003B29D2">
        <w:rPr>
          <w:b/>
          <w:bCs/>
          <w:color w:val="201F1E"/>
          <w:shd w:val="clear" w:color="auto" w:fill="FFFFFF"/>
        </w:rPr>
        <w:t>, Jēkabpilī, Jēkabpils novadā</w:t>
      </w:r>
      <w:r w:rsidRPr="003B29D2">
        <w:rPr>
          <w:color w:val="201F1E"/>
          <w:shd w:val="clear" w:color="auto" w:fill="FFFFFF"/>
        </w:rPr>
        <w:t xml:space="preserve"> </w:t>
      </w:r>
      <w:r w:rsidRPr="003B29D2">
        <w:rPr>
          <w:b/>
          <w:bCs/>
          <w:lang w:eastAsia="zh-CN"/>
        </w:rPr>
        <w:t>katlu mājai</w:t>
      </w:r>
      <w:r w:rsidRPr="003B29D2">
        <w:rPr>
          <w:b/>
        </w:rPr>
        <w:t>”</w:t>
      </w:r>
    </w:p>
    <w:p w14:paraId="11390BC9" w14:textId="1B96BC95" w:rsidR="005B266E" w:rsidRPr="003B29D2" w:rsidRDefault="009E28B6" w:rsidP="009E28B6">
      <w:pPr>
        <w:tabs>
          <w:tab w:val="right" w:pos="9214"/>
        </w:tabs>
        <w:spacing w:line="259" w:lineRule="auto"/>
        <w:contextualSpacing/>
        <w:jc w:val="center"/>
        <w:rPr>
          <w:b/>
        </w:rPr>
      </w:pPr>
      <w:r w:rsidRPr="003B29D2">
        <w:rPr>
          <w:b/>
        </w:rPr>
        <w:t>(Identifikācijas Nr. JS/2023/</w:t>
      </w:r>
      <w:r w:rsidR="0053314D">
        <w:rPr>
          <w:b/>
        </w:rPr>
        <w:t>8</w:t>
      </w:r>
      <w:r w:rsidRPr="003B29D2">
        <w:rPr>
          <w:b/>
        </w:rPr>
        <w:t>)</w:t>
      </w:r>
    </w:p>
    <w:p w14:paraId="68D7BC71" w14:textId="77777777" w:rsidR="009E28B6" w:rsidRPr="003B29D2" w:rsidRDefault="009E28B6" w:rsidP="009E28B6">
      <w:pPr>
        <w:tabs>
          <w:tab w:val="right" w:pos="9214"/>
        </w:tabs>
        <w:spacing w:line="259" w:lineRule="auto"/>
        <w:contextualSpacing/>
        <w:jc w:val="center"/>
        <w:rPr>
          <w:b/>
          <w:sz w:val="22"/>
          <w:szCs w:val="22"/>
        </w:rPr>
      </w:pPr>
    </w:p>
    <w:p w14:paraId="0B6A6F3B" w14:textId="77777777" w:rsidR="0053314D" w:rsidRDefault="0053314D" w:rsidP="0053314D">
      <w:pPr>
        <w:jc w:val="center"/>
        <w:rPr>
          <w:b/>
          <w:bCs/>
        </w:rPr>
      </w:pPr>
      <w:r w:rsidRPr="000B10B3">
        <w:rPr>
          <w:b/>
          <w:bCs/>
          <w:sz w:val="28"/>
          <w:szCs w:val="28"/>
        </w:rPr>
        <w:t>Šķeldas tehniskā specifikācija</w:t>
      </w:r>
    </w:p>
    <w:p w14:paraId="0D39D0E0" w14:textId="77777777" w:rsidR="0053314D" w:rsidRDefault="0053314D" w:rsidP="0053314D">
      <w:pPr>
        <w:jc w:val="center"/>
        <w:rPr>
          <w:b/>
          <w:bCs/>
        </w:rPr>
      </w:pPr>
    </w:p>
    <w:tbl>
      <w:tblPr>
        <w:tblStyle w:val="TableGrid"/>
        <w:tblW w:w="0" w:type="auto"/>
        <w:tblInd w:w="-572" w:type="dxa"/>
        <w:tblLook w:val="04A0" w:firstRow="1" w:lastRow="0" w:firstColumn="1" w:lastColumn="0" w:noHBand="0" w:noVBand="1"/>
      </w:tblPr>
      <w:tblGrid>
        <w:gridCol w:w="2402"/>
        <w:gridCol w:w="7231"/>
      </w:tblGrid>
      <w:tr w:rsidR="0053314D" w:rsidRPr="00196CC8" w14:paraId="1B13D4D8" w14:textId="77777777" w:rsidTr="00C17993">
        <w:tc>
          <w:tcPr>
            <w:tcW w:w="9633" w:type="dxa"/>
            <w:gridSpan w:val="2"/>
          </w:tcPr>
          <w:p w14:paraId="7E0EDBD1" w14:textId="77777777" w:rsidR="0053314D" w:rsidRPr="00196CC8" w:rsidRDefault="0053314D" w:rsidP="00C17993">
            <w:pPr>
              <w:tabs>
                <w:tab w:val="right" w:pos="9214"/>
              </w:tabs>
              <w:ind w:left="1287"/>
              <w:jc w:val="both"/>
              <w:rPr>
                <w:rFonts w:ascii="Times New Roman" w:eastAsiaTheme="minorHAnsi" w:hAnsi="Times New Roman"/>
                <w:sz w:val="24"/>
              </w:rPr>
            </w:pPr>
            <w:r>
              <w:rPr>
                <w:rFonts w:ascii="Times New Roman" w:eastAsiaTheme="minorHAnsi" w:hAnsi="Times New Roman"/>
                <w:sz w:val="24"/>
              </w:rPr>
              <w:t>1.</w:t>
            </w:r>
            <w:r w:rsidRPr="00196CC8">
              <w:rPr>
                <w:rFonts w:ascii="Times New Roman" w:eastAsiaTheme="minorHAnsi" w:hAnsi="Times New Roman"/>
                <w:sz w:val="24"/>
              </w:rPr>
              <w:t>Kurināmā (koksnes šķeldas) prasības:</w:t>
            </w:r>
          </w:p>
        </w:tc>
      </w:tr>
      <w:tr w:rsidR="0053314D" w:rsidRPr="00FB2AE1" w14:paraId="510871E2" w14:textId="77777777" w:rsidTr="00C17993">
        <w:tc>
          <w:tcPr>
            <w:tcW w:w="2402" w:type="dxa"/>
          </w:tcPr>
          <w:p w14:paraId="62D915F1" w14:textId="77777777" w:rsidR="0053314D" w:rsidRPr="00FB2AE1" w:rsidRDefault="0053314D" w:rsidP="00C17993">
            <w:pPr>
              <w:tabs>
                <w:tab w:val="right" w:pos="9214"/>
              </w:tabs>
              <w:ind w:firstLine="567"/>
              <w:jc w:val="both"/>
              <w:rPr>
                <w:rFonts w:ascii="Times New Roman" w:hAnsi="Times New Roman"/>
                <w:sz w:val="24"/>
              </w:rPr>
            </w:pPr>
            <w:r w:rsidRPr="00FB2AE1">
              <w:rPr>
                <w:rFonts w:ascii="Times New Roman" w:hAnsi="Times New Roman"/>
                <w:sz w:val="24"/>
              </w:rPr>
              <w:t>Piegādes adrese:</w:t>
            </w:r>
          </w:p>
        </w:tc>
        <w:tc>
          <w:tcPr>
            <w:tcW w:w="7231" w:type="dxa"/>
          </w:tcPr>
          <w:p w14:paraId="3D2BB696" w14:textId="77777777" w:rsidR="0053314D" w:rsidRPr="00FB2AE1" w:rsidRDefault="0053314D" w:rsidP="00C17993">
            <w:pPr>
              <w:tabs>
                <w:tab w:val="right" w:pos="9214"/>
              </w:tabs>
              <w:ind w:firstLine="567"/>
              <w:jc w:val="both"/>
              <w:rPr>
                <w:rFonts w:ascii="Times New Roman" w:hAnsi="Times New Roman"/>
                <w:sz w:val="24"/>
              </w:rPr>
            </w:pPr>
            <w:r w:rsidRPr="00FB2AE1">
              <w:rPr>
                <w:rFonts w:ascii="Times New Roman" w:hAnsi="Times New Roman"/>
                <w:sz w:val="24"/>
              </w:rPr>
              <w:t>Tvaika iela 4, Jēkabpils, Jēkabpils novads</w:t>
            </w:r>
          </w:p>
        </w:tc>
      </w:tr>
      <w:tr w:rsidR="0053314D" w:rsidRPr="00FB2AE1" w14:paraId="7394CCE0" w14:textId="77777777" w:rsidTr="00C17993">
        <w:tc>
          <w:tcPr>
            <w:tcW w:w="2402" w:type="dxa"/>
          </w:tcPr>
          <w:p w14:paraId="4C05B954" w14:textId="77777777" w:rsidR="0053314D" w:rsidRPr="00FB2AE1" w:rsidRDefault="0053314D" w:rsidP="00C17993">
            <w:pPr>
              <w:tabs>
                <w:tab w:val="right" w:pos="9214"/>
              </w:tabs>
              <w:ind w:firstLine="567"/>
              <w:jc w:val="both"/>
              <w:rPr>
                <w:rFonts w:ascii="Times New Roman" w:hAnsi="Times New Roman"/>
                <w:sz w:val="24"/>
              </w:rPr>
            </w:pPr>
            <w:r w:rsidRPr="00FB2AE1">
              <w:rPr>
                <w:rFonts w:ascii="Times New Roman" w:hAnsi="Times New Roman"/>
                <w:sz w:val="24"/>
                <w:lang w:eastAsia="lv-LV"/>
              </w:rPr>
              <w:t>Šķeldas kopējais apjoms</w:t>
            </w:r>
          </w:p>
        </w:tc>
        <w:tc>
          <w:tcPr>
            <w:tcW w:w="7231" w:type="dxa"/>
          </w:tcPr>
          <w:p w14:paraId="12A39745" w14:textId="77777777" w:rsidR="0053314D" w:rsidRPr="00FB2AE1" w:rsidRDefault="0053314D" w:rsidP="00C17993">
            <w:pPr>
              <w:ind w:firstLine="567"/>
              <w:jc w:val="both"/>
              <w:rPr>
                <w:rFonts w:ascii="Times New Roman" w:hAnsi="Times New Roman"/>
                <w:sz w:val="24"/>
              </w:rPr>
            </w:pPr>
            <w:r>
              <w:rPr>
                <w:rFonts w:ascii="Times New Roman" w:hAnsi="Times New Roman"/>
                <w:b/>
                <w:sz w:val="24"/>
                <w:lang w:eastAsia="lv-LV"/>
              </w:rPr>
              <w:t>20 000 MWh</w:t>
            </w:r>
          </w:p>
          <w:p w14:paraId="28EEFE0C" w14:textId="77777777" w:rsidR="0053314D" w:rsidRPr="00FB2AE1" w:rsidRDefault="0053314D" w:rsidP="00C17993">
            <w:pPr>
              <w:tabs>
                <w:tab w:val="right" w:pos="9214"/>
              </w:tabs>
              <w:ind w:firstLine="567"/>
              <w:jc w:val="both"/>
              <w:rPr>
                <w:rFonts w:ascii="Times New Roman" w:hAnsi="Times New Roman"/>
                <w:sz w:val="24"/>
              </w:rPr>
            </w:pPr>
          </w:p>
        </w:tc>
      </w:tr>
      <w:tr w:rsidR="0053314D" w:rsidRPr="00FB2AE1" w14:paraId="200BBBD8" w14:textId="77777777" w:rsidTr="00C17993">
        <w:tc>
          <w:tcPr>
            <w:tcW w:w="2402" w:type="dxa"/>
          </w:tcPr>
          <w:p w14:paraId="2E84A842" w14:textId="77777777" w:rsidR="0053314D" w:rsidRPr="00FB2AE1" w:rsidRDefault="0053314D" w:rsidP="00C17993">
            <w:pPr>
              <w:tabs>
                <w:tab w:val="right" w:pos="9214"/>
              </w:tabs>
              <w:ind w:firstLine="567"/>
              <w:jc w:val="both"/>
              <w:rPr>
                <w:rFonts w:ascii="Times New Roman" w:hAnsi="Times New Roman"/>
                <w:sz w:val="24"/>
                <w:lang w:eastAsia="lv-LV"/>
              </w:rPr>
            </w:pPr>
            <w:r w:rsidRPr="00FB2AE1">
              <w:rPr>
                <w:rFonts w:ascii="Times New Roman" w:hAnsi="Times New Roman"/>
                <w:sz w:val="24"/>
              </w:rPr>
              <w:t>Šķeldas frakcijas izmēri *</w:t>
            </w:r>
          </w:p>
        </w:tc>
        <w:tc>
          <w:tcPr>
            <w:tcW w:w="7231" w:type="dxa"/>
          </w:tcPr>
          <w:p w14:paraId="3237C19F" w14:textId="77777777" w:rsidR="0053314D" w:rsidRPr="00FB2AE1" w:rsidRDefault="0053314D" w:rsidP="00C17993">
            <w:pPr>
              <w:tabs>
                <w:tab w:val="right" w:pos="9214"/>
              </w:tabs>
              <w:ind w:firstLine="567"/>
              <w:jc w:val="both"/>
              <w:rPr>
                <w:rFonts w:ascii="Times New Roman" w:hAnsi="Times New Roman"/>
                <w:sz w:val="24"/>
              </w:rPr>
            </w:pPr>
          </w:p>
        </w:tc>
      </w:tr>
      <w:tr w:rsidR="0053314D" w:rsidRPr="00FB2AE1" w14:paraId="57E4C8A9" w14:textId="77777777" w:rsidTr="00C17993">
        <w:tc>
          <w:tcPr>
            <w:tcW w:w="2402" w:type="dxa"/>
          </w:tcPr>
          <w:p w14:paraId="7D320117" w14:textId="77777777" w:rsidR="0053314D" w:rsidRPr="00FB2AE1" w:rsidRDefault="0053314D" w:rsidP="00C17993">
            <w:pPr>
              <w:tabs>
                <w:tab w:val="right" w:pos="9214"/>
              </w:tabs>
              <w:ind w:firstLine="567"/>
              <w:jc w:val="both"/>
              <w:rPr>
                <w:rFonts w:ascii="Times New Roman" w:hAnsi="Times New Roman"/>
                <w:sz w:val="24"/>
              </w:rPr>
            </w:pPr>
            <w:r w:rsidRPr="00FB2AE1">
              <w:rPr>
                <w:rFonts w:ascii="Times New Roman" w:hAnsi="Times New Roman"/>
                <w:sz w:val="24"/>
              </w:rPr>
              <w:t>biezums</w:t>
            </w:r>
          </w:p>
        </w:tc>
        <w:tc>
          <w:tcPr>
            <w:tcW w:w="7231" w:type="dxa"/>
          </w:tcPr>
          <w:p w14:paraId="0260D555" w14:textId="77777777" w:rsidR="0053314D" w:rsidRPr="00FB2AE1" w:rsidRDefault="0053314D" w:rsidP="00C17993">
            <w:pPr>
              <w:tabs>
                <w:tab w:val="right" w:pos="9214"/>
              </w:tabs>
              <w:ind w:firstLine="567"/>
              <w:jc w:val="both"/>
              <w:rPr>
                <w:rFonts w:ascii="Times New Roman" w:hAnsi="Times New Roman"/>
                <w:sz w:val="24"/>
              </w:rPr>
            </w:pPr>
            <w:r w:rsidRPr="00FB2AE1">
              <w:rPr>
                <w:rFonts w:ascii="Times New Roman" w:hAnsi="Times New Roman"/>
                <w:sz w:val="24"/>
              </w:rPr>
              <w:t xml:space="preserve">5÷15 mm </w:t>
            </w:r>
          </w:p>
        </w:tc>
      </w:tr>
      <w:tr w:rsidR="0053314D" w:rsidRPr="00FB2AE1" w14:paraId="28138B28" w14:textId="77777777" w:rsidTr="00C17993">
        <w:tc>
          <w:tcPr>
            <w:tcW w:w="2402" w:type="dxa"/>
          </w:tcPr>
          <w:p w14:paraId="7EF2F0BB" w14:textId="77777777" w:rsidR="0053314D" w:rsidRPr="00FB2AE1" w:rsidRDefault="0053314D" w:rsidP="00C17993">
            <w:pPr>
              <w:tabs>
                <w:tab w:val="right" w:pos="9214"/>
              </w:tabs>
              <w:ind w:firstLine="567"/>
              <w:jc w:val="both"/>
              <w:rPr>
                <w:rFonts w:ascii="Times New Roman" w:hAnsi="Times New Roman"/>
                <w:sz w:val="24"/>
              </w:rPr>
            </w:pPr>
            <w:r w:rsidRPr="00FB2AE1">
              <w:rPr>
                <w:rFonts w:ascii="Times New Roman" w:hAnsi="Times New Roman"/>
                <w:sz w:val="24"/>
              </w:rPr>
              <w:t>platums</w:t>
            </w:r>
          </w:p>
        </w:tc>
        <w:tc>
          <w:tcPr>
            <w:tcW w:w="7231" w:type="dxa"/>
          </w:tcPr>
          <w:p w14:paraId="490A3802" w14:textId="77777777" w:rsidR="0053314D" w:rsidRPr="00FB2AE1" w:rsidRDefault="0053314D" w:rsidP="00C17993">
            <w:pPr>
              <w:tabs>
                <w:tab w:val="right" w:pos="9214"/>
              </w:tabs>
              <w:ind w:firstLine="567"/>
              <w:jc w:val="both"/>
              <w:rPr>
                <w:rFonts w:ascii="Times New Roman" w:hAnsi="Times New Roman"/>
                <w:sz w:val="24"/>
              </w:rPr>
            </w:pPr>
            <w:r w:rsidRPr="00FB2AE1">
              <w:rPr>
                <w:rFonts w:ascii="Times New Roman" w:hAnsi="Times New Roman"/>
                <w:sz w:val="24"/>
              </w:rPr>
              <w:t xml:space="preserve">5÷50 mm </w:t>
            </w:r>
          </w:p>
        </w:tc>
      </w:tr>
      <w:tr w:rsidR="0053314D" w:rsidRPr="00FB2AE1" w14:paraId="21079E80" w14:textId="77777777" w:rsidTr="00C17993">
        <w:tc>
          <w:tcPr>
            <w:tcW w:w="2402" w:type="dxa"/>
          </w:tcPr>
          <w:p w14:paraId="10CE3CA0" w14:textId="77777777" w:rsidR="0053314D" w:rsidRPr="00FB2AE1" w:rsidRDefault="0053314D" w:rsidP="00C17993">
            <w:pPr>
              <w:tabs>
                <w:tab w:val="right" w:pos="9214"/>
              </w:tabs>
              <w:ind w:firstLine="567"/>
              <w:jc w:val="both"/>
              <w:rPr>
                <w:rFonts w:ascii="Times New Roman" w:hAnsi="Times New Roman"/>
                <w:sz w:val="24"/>
              </w:rPr>
            </w:pPr>
            <w:r w:rsidRPr="00FB2AE1">
              <w:rPr>
                <w:rFonts w:ascii="Times New Roman" w:hAnsi="Times New Roman"/>
                <w:sz w:val="24"/>
              </w:rPr>
              <w:t>garums</w:t>
            </w:r>
          </w:p>
        </w:tc>
        <w:tc>
          <w:tcPr>
            <w:tcW w:w="7231" w:type="dxa"/>
          </w:tcPr>
          <w:p w14:paraId="52F8775A" w14:textId="77777777" w:rsidR="0053314D" w:rsidRPr="00FB2AE1" w:rsidRDefault="0053314D" w:rsidP="00C17993">
            <w:pPr>
              <w:tabs>
                <w:tab w:val="right" w:pos="9214"/>
              </w:tabs>
              <w:ind w:firstLine="567"/>
              <w:jc w:val="both"/>
              <w:rPr>
                <w:rFonts w:ascii="Times New Roman" w:hAnsi="Times New Roman"/>
                <w:sz w:val="24"/>
              </w:rPr>
            </w:pPr>
            <w:r w:rsidRPr="00FB2AE1">
              <w:rPr>
                <w:rFonts w:ascii="Times New Roman" w:hAnsi="Times New Roman"/>
                <w:sz w:val="24"/>
              </w:rPr>
              <w:t xml:space="preserve">10÷70 mm </w:t>
            </w:r>
          </w:p>
        </w:tc>
      </w:tr>
      <w:tr w:rsidR="0053314D" w:rsidRPr="00FB2AE1" w14:paraId="7F834E5A" w14:textId="77777777" w:rsidTr="00C17993">
        <w:tc>
          <w:tcPr>
            <w:tcW w:w="2402" w:type="dxa"/>
          </w:tcPr>
          <w:p w14:paraId="3C585012" w14:textId="77777777" w:rsidR="0053314D" w:rsidRPr="00FB2AE1" w:rsidRDefault="0053314D" w:rsidP="00C17993">
            <w:pPr>
              <w:tabs>
                <w:tab w:val="right" w:pos="9214"/>
              </w:tabs>
              <w:ind w:firstLine="567"/>
              <w:jc w:val="both"/>
              <w:rPr>
                <w:rFonts w:ascii="Times New Roman" w:hAnsi="Times New Roman"/>
                <w:sz w:val="24"/>
              </w:rPr>
            </w:pPr>
            <w:r w:rsidRPr="00FB2AE1">
              <w:rPr>
                <w:rFonts w:ascii="Times New Roman" w:hAnsi="Times New Roman"/>
                <w:sz w:val="24"/>
              </w:rPr>
              <w:t>*</w:t>
            </w:r>
          </w:p>
        </w:tc>
        <w:tc>
          <w:tcPr>
            <w:tcW w:w="7231" w:type="dxa"/>
          </w:tcPr>
          <w:p w14:paraId="23048587" w14:textId="77777777" w:rsidR="0053314D" w:rsidRPr="00FB2AE1" w:rsidRDefault="0053314D" w:rsidP="00C17993">
            <w:pPr>
              <w:tabs>
                <w:tab w:val="right" w:pos="9214"/>
              </w:tabs>
              <w:ind w:firstLine="567"/>
              <w:jc w:val="both"/>
              <w:rPr>
                <w:rFonts w:ascii="Times New Roman" w:hAnsi="Times New Roman"/>
                <w:sz w:val="24"/>
              </w:rPr>
            </w:pPr>
            <w:r w:rsidRPr="00FB2AE1">
              <w:rPr>
                <w:rFonts w:ascii="Times New Roman" w:hAnsi="Times New Roman"/>
                <w:sz w:val="24"/>
              </w:rPr>
              <w:t>Pieļaujams ne vairāk kā 10% no šķeldas apjoma līdz 30% palielināts frakcijas izmērs.</w:t>
            </w:r>
          </w:p>
        </w:tc>
      </w:tr>
      <w:tr w:rsidR="0053314D" w:rsidRPr="00FB2AE1" w14:paraId="0102696D" w14:textId="77777777" w:rsidTr="00C17993">
        <w:tc>
          <w:tcPr>
            <w:tcW w:w="2402" w:type="dxa"/>
          </w:tcPr>
          <w:p w14:paraId="6B61C961" w14:textId="77777777" w:rsidR="0053314D" w:rsidRPr="00FB2AE1" w:rsidRDefault="0053314D" w:rsidP="00C17993">
            <w:pPr>
              <w:tabs>
                <w:tab w:val="right" w:pos="9214"/>
              </w:tabs>
              <w:ind w:firstLine="567"/>
              <w:jc w:val="both"/>
              <w:rPr>
                <w:rFonts w:ascii="Times New Roman" w:hAnsi="Times New Roman"/>
                <w:sz w:val="24"/>
              </w:rPr>
            </w:pPr>
            <w:r w:rsidRPr="00FB2AE1">
              <w:rPr>
                <w:rFonts w:ascii="Times New Roman" w:hAnsi="Times New Roman"/>
                <w:sz w:val="24"/>
              </w:rPr>
              <w:t>Mitrums</w:t>
            </w:r>
          </w:p>
        </w:tc>
        <w:tc>
          <w:tcPr>
            <w:tcW w:w="7231" w:type="dxa"/>
          </w:tcPr>
          <w:p w14:paraId="217783A7" w14:textId="77777777" w:rsidR="0053314D" w:rsidRPr="00FB2AE1" w:rsidRDefault="0053314D" w:rsidP="00C17993">
            <w:pPr>
              <w:tabs>
                <w:tab w:val="right" w:pos="9214"/>
              </w:tabs>
              <w:ind w:firstLine="567"/>
              <w:jc w:val="both"/>
              <w:rPr>
                <w:rFonts w:ascii="Times New Roman" w:hAnsi="Times New Roman"/>
                <w:sz w:val="24"/>
              </w:rPr>
            </w:pPr>
            <w:r w:rsidRPr="00FB2AE1">
              <w:rPr>
                <w:rFonts w:ascii="Times New Roman" w:hAnsi="Times New Roman"/>
                <w:sz w:val="24"/>
              </w:rPr>
              <w:t>35% (min) ÷ 55% (max)</w:t>
            </w:r>
          </w:p>
        </w:tc>
      </w:tr>
      <w:tr w:rsidR="0053314D" w:rsidRPr="00FB2AE1" w14:paraId="74B2467B" w14:textId="77777777" w:rsidTr="00C17993">
        <w:tc>
          <w:tcPr>
            <w:tcW w:w="2402" w:type="dxa"/>
          </w:tcPr>
          <w:p w14:paraId="54932036" w14:textId="77777777" w:rsidR="0053314D" w:rsidRPr="00FB2AE1" w:rsidRDefault="0053314D" w:rsidP="00C17993">
            <w:pPr>
              <w:tabs>
                <w:tab w:val="right" w:pos="9214"/>
              </w:tabs>
              <w:ind w:firstLine="567"/>
              <w:jc w:val="both"/>
              <w:rPr>
                <w:rFonts w:ascii="Times New Roman" w:hAnsi="Times New Roman"/>
                <w:sz w:val="24"/>
              </w:rPr>
            </w:pPr>
            <w:r w:rsidRPr="00FB2AE1">
              <w:rPr>
                <w:rFonts w:ascii="Times New Roman" w:hAnsi="Times New Roman"/>
                <w:sz w:val="24"/>
              </w:rPr>
              <w:t>Koksnes mizas saturs šķeldā</w:t>
            </w:r>
          </w:p>
        </w:tc>
        <w:tc>
          <w:tcPr>
            <w:tcW w:w="7231" w:type="dxa"/>
          </w:tcPr>
          <w:p w14:paraId="2B479881" w14:textId="77777777" w:rsidR="0053314D" w:rsidRPr="00FB2AE1" w:rsidRDefault="0053314D" w:rsidP="00C17993">
            <w:pPr>
              <w:tabs>
                <w:tab w:val="right" w:pos="9214"/>
              </w:tabs>
              <w:ind w:firstLine="567"/>
              <w:jc w:val="both"/>
              <w:rPr>
                <w:rFonts w:ascii="Times New Roman" w:hAnsi="Times New Roman"/>
                <w:sz w:val="24"/>
              </w:rPr>
            </w:pPr>
            <w:r w:rsidRPr="00FB2AE1">
              <w:rPr>
                <w:rFonts w:ascii="Times New Roman" w:hAnsi="Times New Roman"/>
                <w:sz w:val="24"/>
              </w:rPr>
              <w:t>ne lielāks par 5% no kopējā apjoma</w:t>
            </w:r>
          </w:p>
        </w:tc>
      </w:tr>
      <w:tr w:rsidR="0053314D" w:rsidRPr="00FB2AE1" w14:paraId="0A132601" w14:textId="77777777" w:rsidTr="00C17993">
        <w:tc>
          <w:tcPr>
            <w:tcW w:w="2402" w:type="dxa"/>
          </w:tcPr>
          <w:p w14:paraId="7646D0AB" w14:textId="77777777" w:rsidR="0053314D" w:rsidRPr="00FB2AE1" w:rsidRDefault="0053314D" w:rsidP="00C17993">
            <w:pPr>
              <w:tabs>
                <w:tab w:val="right" w:pos="9214"/>
              </w:tabs>
              <w:ind w:firstLine="567"/>
              <w:jc w:val="both"/>
              <w:rPr>
                <w:rFonts w:ascii="Times New Roman" w:hAnsi="Times New Roman"/>
                <w:sz w:val="24"/>
              </w:rPr>
            </w:pPr>
            <w:r w:rsidRPr="00FB2AE1">
              <w:rPr>
                <w:rFonts w:ascii="Times New Roman" w:hAnsi="Times New Roman"/>
                <w:sz w:val="24"/>
              </w:rPr>
              <w:t>trupe</w:t>
            </w:r>
          </w:p>
        </w:tc>
        <w:tc>
          <w:tcPr>
            <w:tcW w:w="7231" w:type="dxa"/>
          </w:tcPr>
          <w:p w14:paraId="15C03738" w14:textId="77777777" w:rsidR="0053314D" w:rsidRPr="00FB2AE1" w:rsidRDefault="0053314D" w:rsidP="00C17993">
            <w:pPr>
              <w:tabs>
                <w:tab w:val="right" w:pos="9214"/>
              </w:tabs>
              <w:ind w:firstLine="567"/>
              <w:jc w:val="both"/>
              <w:rPr>
                <w:rFonts w:ascii="Times New Roman" w:hAnsi="Times New Roman"/>
                <w:sz w:val="24"/>
              </w:rPr>
            </w:pPr>
            <w:r w:rsidRPr="00FB2AE1">
              <w:rPr>
                <w:rFonts w:ascii="Times New Roman" w:hAnsi="Times New Roman"/>
                <w:sz w:val="24"/>
              </w:rPr>
              <w:t>ne vairāk par 1%</w:t>
            </w:r>
          </w:p>
        </w:tc>
      </w:tr>
      <w:tr w:rsidR="0053314D" w:rsidRPr="00FB2AE1" w14:paraId="16A6DD9D" w14:textId="77777777" w:rsidTr="00C17993">
        <w:tc>
          <w:tcPr>
            <w:tcW w:w="2402" w:type="dxa"/>
          </w:tcPr>
          <w:p w14:paraId="1BA5B2DB" w14:textId="77777777" w:rsidR="0053314D" w:rsidRPr="00FB2AE1" w:rsidRDefault="0053314D" w:rsidP="00C17993">
            <w:pPr>
              <w:tabs>
                <w:tab w:val="right" w:pos="9214"/>
              </w:tabs>
              <w:ind w:firstLine="567"/>
              <w:jc w:val="both"/>
              <w:rPr>
                <w:rFonts w:ascii="Times New Roman" w:hAnsi="Times New Roman"/>
                <w:sz w:val="24"/>
              </w:rPr>
            </w:pPr>
            <w:r w:rsidRPr="00FB2AE1">
              <w:rPr>
                <w:rFonts w:ascii="Times New Roman" w:hAnsi="Times New Roman"/>
                <w:sz w:val="24"/>
              </w:rPr>
              <w:t>zāģu skaidas</w:t>
            </w:r>
          </w:p>
        </w:tc>
        <w:tc>
          <w:tcPr>
            <w:tcW w:w="7231" w:type="dxa"/>
          </w:tcPr>
          <w:p w14:paraId="3ECB41C4" w14:textId="77777777" w:rsidR="0053314D" w:rsidRPr="00FB2AE1" w:rsidRDefault="0053314D" w:rsidP="00C17993">
            <w:pPr>
              <w:tabs>
                <w:tab w:val="right" w:pos="9214"/>
              </w:tabs>
              <w:ind w:firstLine="567"/>
              <w:jc w:val="both"/>
              <w:rPr>
                <w:rFonts w:ascii="Times New Roman" w:hAnsi="Times New Roman"/>
                <w:sz w:val="24"/>
              </w:rPr>
            </w:pPr>
            <w:r w:rsidRPr="00FB2AE1">
              <w:rPr>
                <w:rFonts w:ascii="Times New Roman" w:hAnsi="Times New Roman"/>
                <w:sz w:val="24"/>
              </w:rPr>
              <w:t>ne vairāk par 1%</w:t>
            </w:r>
            <w:r w:rsidRPr="00FB2AE1">
              <w:rPr>
                <w:rFonts w:ascii="Times New Roman" w:hAnsi="Times New Roman"/>
                <w:sz w:val="24"/>
              </w:rPr>
              <w:tab/>
            </w:r>
          </w:p>
        </w:tc>
      </w:tr>
      <w:tr w:rsidR="0053314D" w:rsidRPr="00FB2AE1" w14:paraId="5AD4A64B" w14:textId="77777777" w:rsidTr="00C17993">
        <w:tc>
          <w:tcPr>
            <w:tcW w:w="2402" w:type="dxa"/>
          </w:tcPr>
          <w:p w14:paraId="1A90889C" w14:textId="77777777" w:rsidR="0053314D" w:rsidRPr="00FB2AE1" w:rsidRDefault="0053314D" w:rsidP="00C17993">
            <w:pPr>
              <w:tabs>
                <w:tab w:val="right" w:pos="9214"/>
              </w:tabs>
              <w:ind w:firstLine="567"/>
              <w:jc w:val="both"/>
              <w:rPr>
                <w:rFonts w:ascii="Times New Roman" w:hAnsi="Times New Roman"/>
                <w:sz w:val="24"/>
              </w:rPr>
            </w:pPr>
            <w:r w:rsidRPr="00FB2AE1">
              <w:rPr>
                <w:rFonts w:ascii="Times New Roman" w:hAnsi="Times New Roman"/>
                <w:sz w:val="24"/>
              </w:rPr>
              <w:t>Pelnu saturs</w:t>
            </w:r>
          </w:p>
        </w:tc>
        <w:tc>
          <w:tcPr>
            <w:tcW w:w="7231" w:type="dxa"/>
          </w:tcPr>
          <w:p w14:paraId="35D58178" w14:textId="77777777" w:rsidR="0053314D" w:rsidRPr="00FB2AE1" w:rsidRDefault="0053314D" w:rsidP="00C17993">
            <w:pPr>
              <w:tabs>
                <w:tab w:val="right" w:pos="5930"/>
              </w:tabs>
              <w:ind w:firstLine="567"/>
              <w:jc w:val="both"/>
              <w:rPr>
                <w:rFonts w:ascii="Times New Roman" w:hAnsi="Times New Roman"/>
                <w:sz w:val="24"/>
              </w:rPr>
            </w:pPr>
            <w:r w:rsidRPr="00FB2AE1">
              <w:rPr>
                <w:rFonts w:ascii="Times New Roman" w:hAnsi="Times New Roman"/>
                <w:sz w:val="24"/>
              </w:rPr>
              <w:t>1÷4 %</w:t>
            </w:r>
          </w:p>
        </w:tc>
      </w:tr>
      <w:tr w:rsidR="0053314D" w:rsidRPr="00FB2AE1" w14:paraId="31D296BD" w14:textId="77777777" w:rsidTr="00C17993">
        <w:tc>
          <w:tcPr>
            <w:tcW w:w="9633" w:type="dxa"/>
            <w:gridSpan w:val="2"/>
          </w:tcPr>
          <w:p w14:paraId="2AFC72F3" w14:textId="77777777" w:rsidR="0053314D" w:rsidRPr="00196CC8" w:rsidRDefault="0053314D" w:rsidP="00C17993">
            <w:pPr>
              <w:tabs>
                <w:tab w:val="left" w:pos="312"/>
              </w:tabs>
              <w:ind w:left="601"/>
              <w:jc w:val="both"/>
              <w:rPr>
                <w:rFonts w:ascii="Times New Roman" w:eastAsiaTheme="minorHAnsi" w:hAnsi="Times New Roman"/>
                <w:sz w:val="24"/>
              </w:rPr>
            </w:pPr>
            <w:r w:rsidRPr="00196CC8">
              <w:rPr>
                <w:rFonts w:ascii="Times New Roman" w:eastAsiaTheme="minorHAnsi" w:hAnsi="Times New Roman"/>
                <w:sz w:val="24"/>
              </w:rPr>
              <w:t>2. Nav pieļaujami kluču un to atgriezumu, laminēta, krāsota vai lakota koka, metāla, plastmasas, akmeņu, asfalta gabalu, zemes, stikla un citu svešķermeņu piejaukumi, sasaluši kurināmā gabali, sniega gabali, ledus gabali, sāļi (NaCl) un citi svešķermeņi, kas kvalificējami kā nedegošs vai slikti degošs materiāls. Aizliegts piegādāt Kurināmo, kura sastāvā ir krāsas, lakas, koksnes ķīmiskās apstrādes līdzekļi un citas ķīmikālijas. Kurināmais nedrīkst būt sācies sadalīties, nav pieļaujama cirsmu atlieku šķeldas piegāde.</w:t>
            </w:r>
          </w:p>
        </w:tc>
      </w:tr>
      <w:tr w:rsidR="0053314D" w:rsidRPr="00FB2AE1" w14:paraId="175C5A8B" w14:textId="77777777" w:rsidTr="00C17993">
        <w:tc>
          <w:tcPr>
            <w:tcW w:w="9633" w:type="dxa"/>
            <w:gridSpan w:val="2"/>
          </w:tcPr>
          <w:p w14:paraId="76EDAEEB" w14:textId="77777777" w:rsidR="0053314D" w:rsidRPr="00196CC8" w:rsidRDefault="0053314D" w:rsidP="00C17993">
            <w:pPr>
              <w:tabs>
                <w:tab w:val="left" w:pos="312"/>
              </w:tabs>
              <w:ind w:left="601"/>
              <w:jc w:val="both"/>
              <w:rPr>
                <w:rFonts w:eastAsiaTheme="minorHAnsi"/>
              </w:rPr>
            </w:pPr>
            <w:r>
              <w:rPr>
                <w:rFonts w:ascii="Times New Roman" w:eastAsiaTheme="minorHAnsi" w:hAnsi="Times New Roman"/>
                <w:sz w:val="24"/>
              </w:rPr>
              <w:t xml:space="preserve">3. </w:t>
            </w:r>
            <w:r w:rsidRPr="00196CC8">
              <w:rPr>
                <w:rFonts w:ascii="Times New Roman" w:eastAsiaTheme="minorHAnsi" w:hAnsi="Times New Roman"/>
                <w:sz w:val="24"/>
              </w:rPr>
              <w:t>Ja koksnes šķeldas kvalitāte vizuāli novērtējot neatbilst prasībām, tad, sastādot aktu</w:t>
            </w:r>
            <w:r w:rsidRPr="00196CC8">
              <w:rPr>
                <w:rFonts w:ascii="Times New Roman" w:eastAsiaTheme="minorHAnsi" w:hAnsi="Times New Roman"/>
                <w:color w:val="FF0000"/>
                <w:sz w:val="24"/>
              </w:rPr>
              <w:t xml:space="preserve">, </w:t>
            </w:r>
            <w:r w:rsidRPr="00196CC8">
              <w:rPr>
                <w:rFonts w:ascii="Times New Roman" w:eastAsiaTheme="minorHAnsi" w:hAnsi="Times New Roman"/>
                <w:sz w:val="24"/>
              </w:rPr>
              <w:t xml:space="preserve">pasūtītājam ir tiesības nepieņemt kravu, </w:t>
            </w:r>
            <w:r w:rsidRPr="00196CC8">
              <w:rPr>
                <w:rFonts w:ascii="Times New Roman" w:eastAsiaTheme="minorHAnsi" w:hAnsi="Times New Roman"/>
                <w:bCs/>
                <w:iCs/>
                <w:sz w:val="24"/>
              </w:rPr>
              <w:t>Piegādātājam jāpiegādā cita krava atbilstoši kvalitātes prasībām.</w:t>
            </w:r>
          </w:p>
        </w:tc>
      </w:tr>
      <w:tr w:rsidR="0053314D" w:rsidRPr="00FB2AE1" w14:paraId="201EEBF0" w14:textId="77777777" w:rsidTr="00C17993">
        <w:tc>
          <w:tcPr>
            <w:tcW w:w="9633" w:type="dxa"/>
            <w:gridSpan w:val="2"/>
          </w:tcPr>
          <w:p w14:paraId="4D0A52FF" w14:textId="77777777" w:rsidR="0053314D" w:rsidRPr="00196CC8" w:rsidRDefault="0053314D" w:rsidP="00C17993">
            <w:pPr>
              <w:tabs>
                <w:tab w:val="left" w:pos="312"/>
              </w:tabs>
              <w:ind w:left="601"/>
              <w:jc w:val="both"/>
              <w:rPr>
                <w:rFonts w:eastAsiaTheme="minorHAnsi"/>
              </w:rPr>
            </w:pPr>
            <w:r>
              <w:rPr>
                <w:rFonts w:ascii="Times New Roman" w:eastAsiaTheme="minorHAnsi" w:hAnsi="Times New Roman"/>
                <w:sz w:val="24"/>
              </w:rPr>
              <w:t xml:space="preserve">4. </w:t>
            </w:r>
            <w:r w:rsidRPr="008D77B1">
              <w:rPr>
                <w:rFonts w:ascii="Times New Roman" w:eastAsiaTheme="minorHAnsi" w:hAnsi="Times New Roman"/>
                <w:sz w:val="24"/>
              </w:rPr>
              <w:t>Šķelda ražota Latvijā, nav ievesta Latvijā no citas valsts, minētā prasība attiecināma arī uz izejmateriāliem no kā saražota šķelda.</w:t>
            </w:r>
          </w:p>
        </w:tc>
      </w:tr>
      <w:tr w:rsidR="0053314D" w:rsidRPr="00FB2AE1" w14:paraId="16768931" w14:textId="77777777" w:rsidTr="00C17993">
        <w:tc>
          <w:tcPr>
            <w:tcW w:w="9633" w:type="dxa"/>
            <w:gridSpan w:val="2"/>
          </w:tcPr>
          <w:p w14:paraId="5D4E0DDC" w14:textId="77777777" w:rsidR="0053314D" w:rsidRDefault="0053314D" w:rsidP="00C17993">
            <w:pPr>
              <w:tabs>
                <w:tab w:val="left" w:pos="312"/>
              </w:tabs>
              <w:ind w:left="601"/>
              <w:jc w:val="both"/>
              <w:rPr>
                <w:rFonts w:eastAsiaTheme="minorHAnsi"/>
              </w:rPr>
            </w:pPr>
            <w:r w:rsidRPr="008D77B1">
              <w:rPr>
                <w:rFonts w:ascii="Times New Roman" w:eastAsiaTheme="minorHAnsi" w:hAnsi="Times New Roman"/>
                <w:sz w:val="24"/>
              </w:rPr>
              <w:t>5. Kurināmā piegādātājs, kas ir pēdējais posms piegādes ķēdē pirms kurināmā izmantotāja, ir sertificēts kādā meža sertificēšanas shēmas ietvaros, piemēram, SBP (kas ir arī apstiprināts kā brīvprātīgā shēma Direktīvas 2018/2001 30.panta ietvaros), PEFC (ir pieteikušies apstiprināšanai kā brīvprātīgā shēma Direktīvas 2018/2001 30.panta ietvaros), FSC, SURE, ICC.</w:t>
            </w:r>
          </w:p>
        </w:tc>
      </w:tr>
      <w:tr w:rsidR="0053314D" w:rsidRPr="00FB2AE1" w14:paraId="480FC746" w14:textId="77777777" w:rsidTr="00C17993">
        <w:tc>
          <w:tcPr>
            <w:tcW w:w="9633" w:type="dxa"/>
            <w:gridSpan w:val="2"/>
          </w:tcPr>
          <w:p w14:paraId="5C79CF3A" w14:textId="77777777" w:rsidR="0053314D" w:rsidRPr="00196CC8" w:rsidRDefault="0053314D" w:rsidP="00C17993">
            <w:pPr>
              <w:tabs>
                <w:tab w:val="left" w:pos="312"/>
              </w:tabs>
              <w:ind w:left="601"/>
              <w:jc w:val="both"/>
              <w:rPr>
                <w:rFonts w:eastAsiaTheme="minorHAnsi"/>
              </w:rPr>
            </w:pPr>
            <w:r>
              <w:rPr>
                <w:rFonts w:ascii="Times New Roman" w:hAnsi="Times New Roman"/>
                <w:sz w:val="24"/>
              </w:rPr>
              <w:t xml:space="preserve">6. </w:t>
            </w:r>
            <w:r w:rsidRPr="00196CC8">
              <w:rPr>
                <w:rFonts w:ascii="Times New Roman" w:hAnsi="Times New Roman"/>
                <w:sz w:val="24"/>
              </w:rPr>
              <w:t>Ja šķeldas daudzums, kvalitāte, neatbilst norādītājai Šķeldas tehniskajai specifikācijai, Pasūtītāja Atbildīgai personai ir tiesības atteikties no šķeldas pieņemšanas, nekavējoties par to informējot Piegādātāja transportlīdzekļa vadītāju un Piegādātāja kontaktpersonu.</w:t>
            </w:r>
          </w:p>
        </w:tc>
      </w:tr>
    </w:tbl>
    <w:p w14:paraId="7F3F5561" w14:textId="77777777" w:rsidR="003B29D2" w:rsidRPr="003B29D2" w:rsidRDefault="003B29D2" w:rsidP="0053314D">
      <w:pPr>
        <w:suppressAutoHyphens/>
        <w:spacing w:line="259" w:lineRule="auto"/>
        <w:contextualSpacing/>
        <w:rPr>
          <w:rFonts w:eastAsiaTheme="minorHAnsi"/>
          <w:b/>
          <w:sz w:val="22"/>
          <w:szCs w:val="22"/>
          <w:lang w:eastAsia="ar-SA"/>
        </w:rPr>
      </w:pPr>
    </w:p>
    <w:sectPr w:rsidR="003B29D2" w:rsidRPr="003B29D2" w:rsidSect="0093181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D476A"/>
    <w:multiLevelType w:val="hybridMultilevel"/>
    <w:tmpl w:val="38DA6930"/>
    <w:lvl w:ilvl="0" w:tplc="E3667F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1791E5F"/>
    <w:multiLevelType w:val="multilevel"/>
    <w:tmpl w:val="85EE6DE2"/>
    <w:styleLink w:val="Pareizjaissaraksts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092ED9"/>
    <w:multiLevelType w:val="hybridMultilevel"/>
    <w:tmpl w:val="3C1A0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F5F7C"/>
    <w:multiLevelType w:val="hybridMultilevel"/>
    <w:tmpl w:val="414424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43F5F84"/>
    <w:multiLevelType w:val="hybridMultilevel"/>
    <w:tmpl w:val="25B8620A"/>
    <w:lvl w:ilvl="0" w:tplc="042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D550C3"/>
    <w:multiLevelType w:val="multilevel"/>
    <w:tmpl w:val="978669F0"/>
    <w:lvl w:ilvl="0">
      <w:start w:val="1"/>
      <w:numFmt w:val="decimal"/>
      <w:lvlText w:val="%1."/>
      <w:lvlJc w:val="left"/>
      <w:pPr>
        <w:ind w:left="7874"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11D1C22"/>
    <w:multiLevelType w:val="hybridMultilevel"/>
    <w:tmpl w:val="401270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4645A52"/>
    <w:multiLevelType w:val="hybridMultilevel"/>
    <w:tmpl w:val="1568775E"/>
    <w:lvl w:ilvl="0" w:tplc="499A2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F224AA"/>
    <w:multiLevelType w:val="multilevel"/>
    <w:tmpl w:val="46AA7F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8BF32AF"/>
    <w:multiLevelType w:val="multilevel"/>
    <w:tmpl w:val="200274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DC90903"/>
    <w:multiLevelType w:val="hybridMultilevel"/>
    <w:tmpl w:val="8598B7A0"/>
    <w:lvl w:ilvl="0" w:tplc="4A0E920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F863DD0"/>
    <w:multiLevelType w:val="hybridMultilevel"/>
    <w:tmpl w:val="2B62A306"/>
    <w:lvl w:ilvl="0" w:tplc="7E9CB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9B10F8"/>
    <w:multiLevelType w:val="hybridMultilevel"/>
    <w:tmpl w:val="208605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B2A59EC"/>
    <w:multiLevelType w:val="hybridMultilevel"/>
    <w:tmpl w:val="BBA89C52"/>
    <w:lvl w:ilvl="0" w:tplc="0426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984702">
    <w:abstractNumId w:val="2"/>
  </w:num>
  <w:num w:numId="2" w16cid:durableId="1495871775">
    <w:abstractNumId w:val="5"/>
  </w:num>
  <w:num w:numId="3" w16cid:durableId="1793399980">
    <w:abstractNumId w:val="9"/>
  </w:num>
  <w:num w:numId="4" w16cid:durableId="405806969">
    <w:abstractNumId w:val="8"/>
  </w:num>
  <w:num w:numId="5" w16cid:durableId="1885630506">
    <w:abstractNumId w:val="11"/>
  </w:num>
  <w:num w:numId="6" w16cid:durableId="1952322240">
    <w:abstractNumId w:val="0"/>
  </w:num>
  <w:num w:numId="7" w16cid:durableId="666709676">
    <w:abstractNumId w:val="6"/>
  </w:num>
  <w:num w:numId="8" w16cid:durableId="2069110129">
    <w:abstractNumId w:val="7"/>
  </w:num>
  <w:num w:numId="9" w16cid:durableId="176039067">
    <w:abstractNumId w:val="4"/>
  </w:num>
  <w:num w:numId="10" w16cid:durableId="1244873117">
    <w:abstractNumId w:val="13"/>
  </w:num>
  <w:num w:numId="11" w16cid:durableId="1764299808">
    <w:abstractNumId w:val="12"/>
  </w:num>
  <w:num w:numId="12" w16cid:durableId="1524590096">
    <w:abstractNumId w:val="3"/>
  </w:num>
  <w:num w:numId="13" w16cid:durableId="362219434">
    <w:abstractNumId w:val="10"/>
  </w:num>
  <w:num w:numId="14" w16cid:durableId="1581910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19"/>
    <w:rsid w:val="00076604"/>
    <w:rsid w:val="000779D8"/>
    <w:rsid w:val="00080757"/>
    <w:rsid w:val="00082E8D"/>
    <w:rsid w:val="00094D13"/>
    <w:rsid w:val="000B3D7E"/>
    <w:rsid w:val="001025EA"/>
    <w:rsid w:val="0011736F"/>
    <w:rsid w:val="001402CE"/>
    <w:rsid w:val="00191B5C"/>
    <w:rsid w:val="00197DD3"/>
    <w:rsid w:val="001E7F6A"/>
    <w:rsid w:val="00264869"/>
    <w:rsid w:val="00266F06"/>
    <w:rsid w:val="00275DFA"/>
    <w:rsid w:val="002B445E"/>
    <w:rsid w:val="002C09C5"/>
    <w:rsid w:val="002E759A"/>
    <w:rsid w:val="00305F03"/>
    <w:rsid w:val="003203FD"/>
    <w:rsid w:val="00327B7C"/>
    <w:rsid w:val="00331D7E"/>
    <w:rsid w:val="00345EFD"/>
    <w:rsid w:val="003648F7"/>
    <w:rsid w:val="003B29D2"/>
    <w:rsid w:val="003F766B"/>
    <w:rsid w:val="0041155B"/>
    <w:rsid w:val="004A5E64"/>
    <w:rsid w:val="004E6252"/>
    <w:rsid w:val="00526680"/>
    <w:rsid w:val="0053314D"/>
    <w:rsid w:val="00556818"/>
    <w:rsid w:val="00557131"/>
    <w:rsid w:val="005579CB"/>
    <w:rsid w:val="005A409E"/>
    <w:rsid w:val="005B266E"/>
    <w:rsid w:val="00601D05"/>
    <w:rsid w:val="006258B9"/>
    <w:rsid w:val="00674EF1"/>
    <w:rsid w:val="006A11B3"/>
    <w:rsid w:val="006D259E"/>
    <w:rsid w:val="006D3B71"/>
    <w:rsid w:val="006D3DF8"/>
    <w:rsid w:val="00711E58"/>
    <w:rsid w:val="007671DD"/>
    <w:rsid w:val="007B7FFD"/>
    <w:rsid w:val="007C718B"/>
    <w:rsid w:val="007E2515"/>
    <w:rsid w:val="007E7A05"/>
    <w:rsid w:val="008D0520"/>
    <w:rsid w:val="008D38F2"/>
    <w:rsid w:val="008E41FC"/>
    <w:rsid w:val="0093181F"/>
    <w:rsid w:val="00942285"/>
    <w:rsid w:val="00944CE5"/>
    <w:rsid w:val="009720D1"/>
    <w:rsid w:val="0098090D"/>
    <w:rsid w:val="00981929"/>
    <w:rsid w:val="009B5119"/>
    <w:rsid w:val="009D1433"/>
    <w:rsid w:val="009E28B6"/>
    <w:rsid w:val="00A43C4D"/>
    <w:rsid w:val="00A52EBD"/>
    <w:rsid w:val="00A6519D"/>
    <w:rsid w:val="00A74279"/>
    <w:rsid w:val="00AC4485"/>
    <w:rsid w:val="00AD5569"/>
    <w:rsid w:val="00AD6C88"/>
    <w:rsid w:val="00B005E0"/>
    <w:rsid w:val="00B13C41"/>
    <w:rsid w:val="00B425DA"/>
    <w:rsid w:val="00BA7473"/>
    <w:rsid w:val="00BF10F1"/>
    <w:rsid w:val="00C11B08"/>
    <w:rsid w:val="00C22D4F"/>
    <w:rsid w:val="00C65387"/>
    <w:rsid w:val="00CB601E"/>
    <w:rsid w:val="00CB7212"/>
    <w:rsid w:val="00CC3E47"/>
    <w:rsid w:val="00CD62A5"/>
    <w:rsid w:val="00CE2D31"/>
    <w:rsid w:val="00CF6A58"/>
    <w:rsid w:val="00D148C6"/>
    <w:rsid w:val="00D41279"/>
    <w:rsid w:val="00D461EE"/>
    <w:rsid w:val="00D46D27"/>
    <w:rsid w:val="00D859FF"/>
    <w:rsid w:val="00D95C14"/>
    <w:rsid w:val="00DA2FFC"/>
    <w:rsid w:val="00DA59ED"/>
    <w:rsid w:val="00DD65B0"/>
    <w:rsid w:val="00DE49DC"/>
    <w:rsid w:val="00E00E90"/>
    <w:rsid w:val="00E0322F"/>
    <w:rsid w:val="00E166EB"/>
    <w:rsid w:val="00E61A5C"/>
    <w:rsid w:val="00E843FE"/>
    <w:rsid w:val="00E864D4"/>
    <w:rsid w:val="00E87CE1"/>
    <w:rsid w:val="00EB22E4"/>
    <w:rsid w:val="00EB4908"/>
    <w:rsid w:val="00ED2E6F"/>
    <w:rsid w:val="00F06B75"/>
    <w:rsid w:val="00F3582C"/>
    <w:rsid w:val="00F40449"/>
    <w:rsid w:val="00FA5CD2"/>
    <w:rsid w:val="00FB15FB"/>
    <w:rsid w:val="00FD3F6A"/>
    <w:rsid w:val="00FE7678"/>
    <w:rsid w:val="00FF4B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7834"/>
  <w15:chartTrackingRefBased/>
  <w15:docId w15:val="{49AC25AB-E080-4CDD-A707-F4697B4E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19"/>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D27"/>
    <w:pPr>
      <w:ind w:left="720"/>
      <w:contextualSpacing/>
    </w:pPr>
  </w:style>
  <w:style w:type="character" w:styleId="Hyperlink">
    <w:name w:val="Hyperlink"/>
    <w:basedOn w:val="DefaultParagraphFont"/>
    <w:uiPriority w:val="99"/>
    <w:unhideWhenUsed/>
    <w:rsid w:val="000B3D7E"/>
    <w:rPr>
      <w:color w:val="0563C1" w:themeColor="hyperlink"/>
      <w:u w:val="single"/>
    </w:rPr>
  </w:style>
  <w:style w:type="character" w:styleId="UnresolvedMention">
    <w:name w:val="Unresolved Mention"/>
    <w:basedOn w:val="DefaultParagraphFont"/>
    <w:uiPriority w:val="99"/>
    <w:semiHidden/>
    <w:unhideWhenUsed/>
    <w:rsid w:val="000B3D7E"/>
    <w:rPr>
      <w:color w:val="605E5C"/>
      <w:shd w:val="clear" w:color="auto" w:fill="E1DFDD"/>
    </w:rPr>
  </w:style>
  <w:style w:type="table" w:styleId="TableGrid">
    <w:name w:val="Table Grid"/>
    <w:basedOn w:val="TableNormal"/>
    <w:uiPriority w:val="39"/>
    <w:rsid w:val="005B266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26486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eizjaissaraksts1">
    <w:name w:val="Pašreizējais saraksts1"/>
    <w:uiPriority w:val="99"/>
    <w:rsid w:val="00D859F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1978</Characters>
  <Application>Microsoft Office Word</Application>
  <DocSecurity>4</DocSecurity>
  <Lines>16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Aiga Sleže</cp:lastModifiedBy>
  <cp:revision>2</cp:revision>
  <cp:lastPrinted>2023-08-30T08:01:00Z</cp:lastPrinted>
  <dcterms:created xsi:type="dcterms:W3CDTF">2023-08-30T14:35:00Z</dcterms:created>
  <dcterms:modified xsi:type="dcterms:W3CDTF">2023-08-30T14:35:00Z</dcterms:modified>
</cp:coreProperties>
</file>